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Foreign Exchange Risk Management Policy</w:t>
      </w:r>
    </w:p>
    <w:p>
      <w:pPr>
        <w:spacing w:after="240"/>
      </w:pPr>
      <w:r>
        <w:rPr>
          <w:i/>
          <w:iCs/>
          <w:color w:val="A9793A"/>
          <w:sz w:val="20"/>
          <w:szCs w:val="20"/>
        </w:rPr>
        <w:t xml:space="preserve">Template for mid-market corporates  ·  edit every bracketed field before adoption</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600"/>
        <w:gridCol w:w="2100"/>
        <w:gridCol w:w="2100"/>
        <w:gridCol w:w="2600"/>
      </w:tblGrid>
      <w:tr>
        <w:trPr>
          <w:tblHeader/>
        </w:trPr>
        <w:tc>
          <w:tcPr>
            <w:tcW w:type="dxa" w:w="2600"/>
            <w:shd w:fill="EEF2F5" w:color="auto" w:val="clear"/>
            <w:tcMar>
              <w:top w:type="dxa" w:w="90"/>
              <w:left w:type="dxa" w:w="120"/>
              <w:bottom w:type="dxa" w:w="90"/>
              <w:right w:type="dxa" w:w="120"/>
            </w:tcMar>
          </w:tcPr>
          <w:p>
            <w:r>
              <w:rPr>
                <w:b/>
                <w:bCs/>
                <w:color w:val="163E58"/>
                <w:sz w:val="19"/>
                <w:szCs w:val="19"/>
              </w:rPr>
              <w:t xml:space="preserve">Field</w:t>
            </w:r>
          </w:p>
        </w:tc>
        <w:tc>
          <w:tcPr>
            <w:tcW w:type="dxa" w:w="2100"/>
            <w:shd w:fill="EEF2F5" w:color="auto" w:val="clear"/>
            <w:tcMar>
              <w:top w:type="dxa" w:w="90"/>
              <w:left w:type="dxa" w:w="120"/>
              <w:bottom w:type="dxa" w:w="90"/>
              <w:right w:type="dxa" w:w="120"/>
            </w:tcMar>
          </w:tcPr>
          <w:p>
            <w:r>
              <w:rPr>
                <w:b/>
                <w:bCs/>
                <w:color w:val="163E58"/>
                <w:sz w:val="19"/>
                <w:szCs w:val="19"/>
              </w:rPr>
              <w:t xml:space="preserve">Entry</w:t>
            </w:r>
          </w:p>
        </w:tc>
        <w:tc>
          <w:tcPr>
            <w:tcW w:type="dxa" w:w="2100"/>
            <w:shd w:fill="EEF2F5" w:color="auto" w:val="clear"/>
            <w:tcMar>
              <w:top w:type="dxa" w:w="90"/>
              <w:left w:type="dxa" w:w="120"/>
              <w:bottom w:type="dxa" w:w="90"/>
              <w:right w:type="dxa" w:w="120"/>
            </w:tcMar>
          </w:tcPr>
          <w:p>
            <w:r>
              <w:rPr>
                <w:b/>
                <w:bCs/>
                <w:color w:val="163E58"/>
                <w:sz w:val="19"/>
                <w:szCs w:val="19"/>
              </w:rPr>
              <w:t xml:space="preserve">Field</w:t>
            </w:r>
          </w:p>
        </w:tc>
        <w:tc>
          <w:tcPr>
            <w:tcW w:type="dxa" w:w="2600"/>
            <w:shd w:fill="EEF2F5" w:color="auto" w:val="clear"/>
            <w:tcMar>
              <w:top w:type="dxa" w:w="90"/>
              <w:left w:type="dxa" w:w="120"/>
              <w:bottom w:type="dxa" w:w="90"/>
              <w:right w:type="dxa" w:w="120"/>
            </w:tcMar>
          </w:tcPr>
          <w:p>
            <w:r>
              <w:rPr>
                <w:b/>
                <w:bCs/>
                <w:color w:val="163E58"/>
                <w:sz w:val="19"/>
                <w:szCs w:val="19"/>
              </w:rPr>
              <w:t xml:space="preserve">Entry</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Company</w:t>
            </w:r>
          </w:p>
        </w:tc>
        <w:tc>
          <w:tcPr>
            <w:tcW w:type="dxa" w:w="2100"/>
            <w:tcMar>
              <w:top w:type="dxa" w:w="90"/>
              <w:left w:type="dxa" w:w="120"/>
              <w:bottom w:type="dxa" w:w="90"/>
              <w:right w:type="dxa" w:w="120"/>
            </w:tcMar>
          </w:tcPr>
          <w:p>
            <w:r>
              <w:rPr>
                <w:b w:val="false"/>
                <w:bCs w:val="false"/>
                <w:color w:val="1B242B"/>
                <w:sz w:val="19"/>
                <w:szCs w:val="19"/>
              </w:rPr>
              <w:t xml:space="preserve">[legal entity]</w:t>
            </w:r>
          </w:p>
        </w:tc>
        <w:tc>
          <w:tcPr>
            <w:tcW w:type="dxa" w:w="2100"/>
            <w:tcMar>
              <w:top w:type="dxa" w:w="90"/>
              <w:left w:type="dxa" w:w="120"/>
              <w:bottom w:type="dxa" w:w="90"/>
              <w:right w:type="dxa" w:w="120"/>
            </w:tcMar>
          </w:tcPr>
          <w:p>
            <w:r>
              <w:rPr>
                <w:b w:val="false"/>
                <w:bCs w:val="false"/>
                <w:color w:val="1B242B"/>
                <w:sz w:val="19"/>
                <w:szCs w:val="19"/>
              </w:rPr>
              <w:t xml:space="preserve">Policy owner</w:t>
            </w:r>
          </w:p>
        </w:tc>
        <w:tc>
          <w:tcPr>
            <w:tcW w:type="dxa" w:w="2600"/>
            <w:tcMar>
              <w:top w:type="dxa" w:w="90"/>
              <w:left w:type="dxa" w:w="120"/>
              <w:bottom w:type="dxa" w:w="90"/>
              <w:right w:type="dxa" w:w="120"/>
            </w:tcMar>
          </w:tcPr>
          <w:p>
            <w:r>
              <w:rPr>
                <w:b w:val="false"/>
                <w:bCs w:val="false"/>
                <w:color w:val="1B242B"/>
                <w:sz w:val="19"/>
                <w:szCs w:val="19"/>
              </w:rPr>
              <w:t xml:space="preserve">[CFO / Treasurer]</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Version</w:t>
            </w:r>
          </w:p>
        </w:tc>
        <w:tc>
          <w:tcPr>
            <w:tcW w:type="dxa" w:w="2100"/>
            <w:tcMar>
              <w:top w:type="dxa" w:w="90"/>
              <w:left w:type="dxa" w:w="120"/>
              <w:bottom w:type="dxa" w:w="90"/>
              <w:right w:type="dxa" w:w="120"/>
            </w:tcMar>
          </w:tcPr>
          <w:p>
            <w:r>
              <w:rPr>
                <w:b w:val="false"/>
                <w:bCs w:val="false"/>
                <w:color w:val="1B242B"/>
                <w:sz w:val="19"/>
                <w:szCs w:val="19"/>
              </w:rPr>
              <w:t xml:space="preserve">1.0</w:t>
            </w:r>
          </w:p>
        </w:tc>
        <w:tc>
          <w:tcPr>
            <w:tcW w:type="dxa" w:w="2100"/>
            <w:tcMar>
              <w:top w:type="dxa" w:w="90"/>
              <w:left w:type="dxa" w:w="120"/>
              <w:bottom w:type="dxa" w:w="90"/>
              <w:right w:type="dxa" w:w="120"/>
            </w:tcMar>
          </w:tcPr>
          <w:p>
            <w:r>
              <w:rPr>
                <w:b w:val="false"/>
                <w:bCs w:val="false"/>
                <w:color w:val="1B242B"/>
                <w:sz w:val="19"/>
                <w:szCs w:val="19"/>
              </w:rPr>
              <w:t xml:space="preserve">Approved by</w:t>
            </w:r>
          </w:p>
        </w:tc>
        <w:tc>
          <w:tcPr>
            <w:tcW w:type="dxa" w:w="2600"/>
            <w:tcMar>
              <w:top w:type="dxa" w:w="90"/>
              <w:left w:type="dxa" w:w="120"/>
              <w:bottom w:type="dxa" w:w="90"/>
              <w:right w:type="dxa" w:w="120"/>
            </w:tcMar>
          </w:tcPr>
          <w:p>
            <w:r>
              <w:rPr>
                <w:b w:val="false"/>
                <w:bCs w:val="false"/>
                <w:color w:val="1B242B"/>
                <w:sz w:val="19"/>
                <w:szCs w:val="19"/>
              </w:rPr>
              <w:t xml:space="preserve">[Board / Owner]</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Effective date</w:t>
            </w:r>
          </w:p>
        </w:tc>
        <w:tc>
          <w:tcPr>
            <w:tcW w:type="dxa" w:w="2100"/>
            <w:tcMar>
              <w:top w:type="dxa" w:w="90"/>
              <w:left w:type="dxa" w:w="120"/>
              <w:bottom w:type="dxa" w:w="90"/>
              <w:right w:type="dxa" w:w="120"/>
            </w:tcMar>
          </w:tcPr>
          <w:p>
            <w:r>
              <w:rPr>
                <w:b w:val="false"/>
                <w:bCs w:val="false"/>
                <w:color w:val="1B242B"/>
                <w:sz w:val="19"/>
                <w:szCs w:val="19"/>
              </w:rPr>
              <w:t xml:space="preserve">[date]</w:t>
            </w:r>
          </w:p>
        </w:tc>
        <w:tc>
          <w:tcPr>
            <w:tcW w:type="dxa" w:w="2100"/>
            <w:tcMar>
              <w:top w:type="dxa" w:w="90"/>
              <w:left w:type="dxa" w:w="120"/>
              <w:bottom w:type="dxa" w:w="90"/>
              <w:right w:type="dxa" w:w="120"/>
            </w:tcMar>
          </w:tcPr>
          <w:p>
            <w:r>
              <w:rPr>
                <w:b w:val="false"/>
                <w:bCs w:val="false"/>
                <w:color w:val="1B242B"/>
                <w:sz w:val="19"/>
                <w:szCs w:val="19"/>
              </w:rPr>
              <w:t xml:space="preserve">Next review</w:t>
            </w:r>
          </w:p>
        </w:tc>
        <w:tc>
          <w:tcPr>
            <w:tcW w:type="dxa" w:w="2600"/>
            <w:tcMar>
              <w:top w:type="dxa" w:w="90"/>
              <w:left w:type="dxa" w:w="120"/>
              <w:bottom w:type="dxa" w:w="90"/>
              <w:right w:type="dxa" w:w="120"/>
            </w:tcMar>
          </w:tcPr>
          <w:p>
            <w:r>
              <w:rPr>
                <w:b w:val="false"/>
                <w:bCs w:val="false"/>
                <w:color w:val="1B242B"/>
                <w:sz w:val="19"/>
                <w:szCs w:val="19"/>
              </w:rPr>
              <w:t xml:space="preserve">[date + 12 months]</w:t>
            </w:r>
          </w:p>
        </w:tc>
      </w:tr>
    </w:tbl>
    <w:p/>
    <w:p>
      <w:pPr>
        <w:pStyle w:val="Heading1"/>
        <w:spacing w:after="110" w:before="260"/>
      </w:pPr>
      <w:r>
        <w:t xml:space="preserve">1. Purpose and scope</w:t>
      </w:r>
    </w:p>
    <w:p>
      <w:pPr>
        <w:spacing w:after="110"/>
      </w:pPr>
      <w:r>
        <w:rPr>
          <w:i w:val="false"/>
          <w:iCs w:val="false"/>
          <w:color w:val="1B242B"/>
          <w:sz w:val="21"/>
          <w:szCs w:val="21"/>
        </w:rPr>
        <w:t xml:space="preserve">This policy governs how the company identifies, measures, manages and reports foreign exchange risk. It applies to all entities, contracts and cash flows listed below.</w:t>
      </w:r>
    </w:p>
    <w:p>
      <w:pPr>
        <w:pStyle w:val="ListParagraph"/>
        <w:numPr>
          <w:ilvl w:val="0"/>
          <w:numId w:val="2"/>
        </w:numPr>
        <w:spacing w:after="70"/>
      </w:pPr>
      <w:r>
        <w:rPr>
          <w:sz w:val="21"/>
          <w:szCs w:val="21"/>
        </w:rPr>
        <w:t xml:space="preserve">Entities in scope: [list all legal entities, including subsidiaries and trading vehicles]</w:t>
      </w:r>
    </w:p>
    <w:p>
      <w:pPr>
        <w:pStyle w:val="ListParagraph"/>
        <w:numPr>
          <w:ilvl w:val="0"/>
          <w:numId w:val="2"/>
        </w:numPr>
        <w:spacing w:after="70"/>
      </w:pPr>
      <w:r>
        <w:rPr>
          <w:sz w:val="21"/>
          <w:szCs w:val="21"/>
        </w:rPr>
        <w:t xml:space="preserve">Functional currency: [e.g. USD]</w:t>
      </w:r>
    </w:p>
    <w:p>
      <w:pPr>
        <w:pStyle w:val="ListParagraph"/>
        <w:numPr>
          <w:ilvl w:val="0"/>
          <w:numId w:val="2"/>
        </w:numPr>
        <w:spacing w:after="70"/>
      </w:pPr>
      <w:r>
        <w:rPr>
          <w:sz w:val="21"/>
          <w:szCs w:val="21"/>
        </w:rPr>
        <w:t xml:space="preserve">Transaction currencies in scope: [EUR, CNH, INR, TRY, ...]</w:t>
      </w:r>
    </w:p>
    <w:p>
      <w:pPr>
        <w:pStyle w:val="ListParagraph"/>
        <w:numPr>
          <w:ilvl w:val="0"/>
          <w:numId w:val="2"/>
        </w:numPr>
        <w:spacing w:after="70"/>
      </w:pPr>
      <w:r>
        <w:rPr>
          <w:sz w:val="21"/>
          <w:szCs w:val="21"/>
        </w:rPr>
        <w:t xml:space="preserve">Out of scope: [e.g. translation of net investment in foreign subsidiaries, unless stated]</w:t>
      </w:r>
    </w:p>
    <w:p>
      <w:pPr>
        <w:spacing w:after="110"/>
      </w:pPr>
      <w:r>
        <w:rPr>
          <w:i/>
          <w:iCs/>
          <w:color w:val="1B242B"/>
          <w:sz w:val="21"/>
          <w:szCs w:val="21"/>
        </w:rPr>
        <w:t xml:space="preserve">Objective: to protect budgeted margin from currency movements. The company does not take currency positions for profit. Any position not linked to an underlying commercial exposure is prohibited.</w:t>
      </w:r>
    </w:p>
    <w:p>
      <w:pPr>
        <w:pStyle w:val="Heading1"/>
        <w:spacing w:after="110" w:before="260"/>
      </w:pPr>
      <w:r>
        <w:t xml:space="preserve">2. Definitions of exposure</w:t>
      </w:r>
    </w:p>
    <w:p>
      <w:pPr>
        <w:pStyle w:val="Heading2"/>
        <w:spacing w:after="110" w:before="260"/>
      </w:pPr>
      <w:r>
        <w:t xml:space="preserve">2.1 Transaction exposure</w:t>
      </w:r>
    </w:p>
    <w:p>
      <w:pPr>
        <w:spacing w:after="110"/>
      </w:pPr>
      <w:r>
        <w:rPr>
          <w:i w:val="false"/>
          <w:iCs w:val="false"/>
          <w:color w:val="1B242B"/>
          <w:sz w:val="21"/>
          <w:szCs w:val="21"/>
        </w:rPr>
        <w:t xml:space="preserve">Contracted receivables and payables in a currency other than the functional currency, from the moment a binding contract or purchase order exists until settlement.</w:t>
      </w:r>
    </w:p>
    <w:p>
      <w:pPr>
        <w:pStyle w:val="Heading2"/>
        <w:spacing w:after="110" w:before="260"/>
      </w:pPr>
      <w:r>
        <w:t xml:space="preserve">2.2 Forecast exposure</w:t>
      </w:r>
    </w:p>
    <w:p>
      <w:pPr>
        <w:spacing w:after="110"/>
      </w:pPr>
      <w:r>
        <w:rPr>
          <w:i w:val="false"/>
          <w:iCs w:val="false"/>
          <w:color w:val="1B242B"/>
          <w:sz w:val="21"/>
          <w:szCs w:val="21"/>
        </w:rPr>
        <w:t xml:space="preserve">Highly probable future flows supported by budget, pipeline or historical run-rate, not yet contracted. Forecast exposure is hedged at a lower ratio than contracted exposure, because the underlying may not materialise.</w:t>
      </w:r>
    </w:p>
    <w:p>
      <w:pPr>
        <w:pStyle w:val="Heading2"/>
        <w:spacing w:after="110" w:before="260"/>
      </w:pPr>
      <w:r>
        <w:t xml:space="preserve">2.3 Tender and pricing exposure</w:t>
      </w:r>
    </w:p>
    <w:p>
      <w:pPr>
        <w:spacing w:after="110"/>
      </w:pPr>
      <w:r>
        <w:rPr>
          <w:i w:val="false"/>
          <w:iCs w:val="false"/>
          <w:color w:val="1B242B"/>
          <w:sz w:val="21"/>
          <w:szCs w:val="21"/>
        </w:rPr>
        <w:t xml:space="preserve">Currency risk created when a price is quoted to a client in advance of the contract. The company grants the client an option on the exchange rate; the cost of that option is priced into the quote or hedged with an option, never left open by default.</w:t>
      </w:r>
    </w:p>
    <w:p>
      <w:pPr>
        <w:pStyle w:val="Heading2"/>
        <w:spacing w:after="110" w:before="260"/>
      </w:pPr>
      <w:r>
        <w:t xml:space="preserve">2.4 Balance-sheet and translation exposure</w:t>
      </w:r>
    </w:p>
    <w:p>
      <w:pPr>
        <w:spacing w:after="110"/>
      </w:pPr>
      <w:r>
        <w:rPr>
          <w:i w:val="false"/>
          <w:iCs w:val="false"/>
          <w:color w:val="1B242B"/>
          <w:sz w:val="21"/>
          <w:szCs w:val="21"/>
        </w:rPr>
        <w:t xml:space="preserve">Monetary assets and liabilities held in foreign currency, and the translation of foreign subsidiaries. Treatment: [hedge / do not hedge — state the decision and the reason].</w:t>
      </w:r>
    </w:p>
    <w:p>
      <w:pPr>
        <w:pStyle w:val="Heading1"/>
        <w:spacing w:after="110" w:before="260"/>
      </w:pPr>
      <w:r>
        <w:t xml:space="preserve">3. Measurement</w:t>
      </w:r>
    </w:p>
    <w:p>
      <w:pPr>
        <w:pStyle w:val="ListParagraph"/>
        <w:numPr>
          <w:ilvl w:val="0"/>
          <w:numId w:val="2"/>
        </w:numPr>
        <w:spacing w:after="70"/>
      </w:pPr>
      <w:r>
        <w:rPr>
          <w:sz w:val="21"/>
          <w:szCs w:val="21"/>
        </w:rPr>
        <w:t xml:space="preserve">Exposure is consolidated across all entities in scope and reported net by currency and by maturity bucket.</w:t>
      </w:r>
    </w:p>
    <w:p>
      <w:pPr>
        <w:pStyle w:val="ListParagraph"/>
        <w:numPr>
          <w:ilvl w:val="0"/>
          <w:numId w:val="2"/>
        </w:numPr>
        <w:spacing w:after="70"/>
      </w:pPr>
      <w:r>
        <w:rPr>
          <w:sz w:val="21"/>
          <w:szCs w:val="21"/>
        </w:rPr>
        <w:t xml:space="preserve">Maturity buckets: 0–1M, 1–3M, 3–6M, 6–12M, beyond 12M.</w:t>
      </w:r>
    </w:p>
    <w:p>
      <w:pPr>
        <w:pStyle w:val="ListParagraph"/>
        <w:numPr>
          <w:ilvl w:val="0"/>
          <w:numId w:val="2"/>
        </w:numPr>
        <w:spacing w:after="70"/>
      </w:pPr>
      <w:r>
        <w:rPr>
          <w:sz w:val="21"/>
          <w:szCs w:val="21"/>
        </w:rPr>
        <w:t xml:space="preserve">Earnings at risk is calculated at a [95%] confidence level over the relevant horizon and reported against budgeted operating profit.</w:t>
      </w:r>
    </w:p>
    <w:p>
      <w:pPr>
        <w:pStyle w:val="ListParagraph"/>
        <w:numPr>
          <w:ilvl w:val="0"/>
          <w:numId w:val="2"/>
        </w:numPr>
        <w:spacing w:after="70"/>
      </w:pPr>
      <w:r>
        <w:rPr>
          <w:sz w:val="21"/>
          <w:szCs w:val="21"/>
        </w:rPr>
        <w:t xml:space="preserve">Volatility inputs and rate curves are refreshed [monthly] from [source].</w:t>
      </w:r>
    </w:p>
    <w:p>
      <w:pPr>
        <w:pStyle w:val="ListParagraph"/>
        <w:numPr>
          <w:ilvl w:val="0"/>
          <w:numId w:val="2"/>
        </w:numPr>
        <w:spacing w:after="70"/>
      </w:pPr>
      <w:r>
        <w:rPr>
          <w:sz w:val="21"/>
          <w:szCs w:val="21"/>
        </w:rPr>
        <w:t xml:space="preserve">Materiality threshold: exposures below [USD 250,000] per currency per bucket are not hedged individually.</w:t>
      </w:r>
    </w:p>
    <w:p>
      <w:pPr>
        <w:pStyle w:val="Heading1"/>
        <w:spacing w:after="110" w:before="260"/>
      </w:pPr>
      <w:r>
        <w:t xml:space="preserve">4. Hedge ratios</w:t>
      </w:r>
    </w:p>
    <w:p>
      <w:pPr>
        <w:spacing w:after="110"/>
      </w:pPr>
      <w:r>
        <w:rPr>
          <w:i w:val="false"/>
          <w:iCs w:val="false"/>
          <w:color w:val="1B242B"/>
          <w:sz w:val="21"/>
          <w:szCs w:val="21"/>
        </w:rPr>
        <w:t xml:space="preserve">The following ratios are targets, with a tolerance band of ±[10] percentage points. Breaches outside the band are reported to the policy owner within [2] business days.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600"/>
        <w:gridCol w:w="2100"/>
        <w:gridCol w:w="2100"/>
        <w:gridCol w:w="2600"/>
      </w:tblGrid>
      <w:tr>
        <w:trPr>
          <w:tblHeader/>
        </w:trPr>
        <w:tc>
          <w:tcPr>
            <w:tcW w:type="dxa" w:w="2600"/>
            <w:shd w:fill="EEF2F5" w:color="auto" w:val="clear"/>
            <w:tcMar>
              <w:top w:type="dxa" w:w="90"/>
              <w:left w:type="dxa" w:w="120"/>
              <w:bottom w:type="dxa" w:w="90"/>
              <w:right w:type="dxa" w:w="120"/>
            </w:tcMar>
          </w:tcPr>
          <w:p>
            <w:r>
              <w:rPr>
                <w:b/>
                <w:bCs/>
                <w:color w:val="163E58"/>
                <w:sz w:val="19"/>
                <w:szCs w:val="19"/>
              </w:rPr>
              <w:t xml:space="preserve">Exposure type</w:t>
            </w:r>
          </w:p>
        </w:tc>
        <w:tc>
          <w:tcPr>
            <w:tcW w:type="dxa" w:w="2100"/>
            <w:shd w:fill="EEF2F5" w:color="auto" w:val="clear"/>
            <w:tcMar>
              <w:top w:type="dxa" w:w="90"/>
              <w:left w:type="dxa" w:w="120"/>
              <w:bottom w:type="dxa" w:w="90"/>
              <w:right w:type="dxa" w:w="120"/>
            </w:tcMar>
          </w:tcPr>
          <w:p>
            <w:r>
              <w:rPr>
                <w:b/>
                <w:bCs/>
                <w:color w:val="163E58"/>
                <w:sz w:val="19"/>
                <w:szCs w:val="19"/>
              </w:rPr>
              <w:t xml:space="preserve">0–3M</w:t>
            </w:r>
          </w:p>
        </w:tc>
        <w:tc>
          <w:tcPr>
            <w:tcW w:type="dxa" w:w="2100"/>
            <w:shd w:fill="EEF2F5" w:color="auto" w:val="clear"/>
            <w:tcMar>
              <w:top w:type="dxa" w:w="90"/>
              <w:left w:type="dxa" w:w="120"/>
              <w:bottom w:type="dxa" w:w="90"/>
              <w:right w:type="dxa" w:w="120"/>
            </w:tcMar>
          </w:tcPr>
          <w:p>
            <w:r>
              <w:rPr>
                <w:b/>
                <w:bCs/>
                <w:color w:val="163E58"/>
                <w:sz w:val="19"/>
                <w:szCs w:val="19"/>
              </w:rPr>
              <w:t xml:space="preserve">3–12M</w:t>
            </w:r>
          </w:p>
        </w:tc>
        <w:tc>
          <w:tcPr>
            <w:tcW w:type="dxa" w:w="2600"/>
            <w:shd w:fill="EEF2F5" w:color="auto" w:val="clear"/>
            <w:tcMar>
              <w:top w:type="dxa" w:w="90"/>
              <w:left w:type="dxa" w:w="120"/>
              <w:bottom w:type="dxa" w:w="90"/>
              <w:right w:type="dxa" w:w="120"/>
            </w:tcMar>
          </w:tcPr>
          <w:p>
            <w:r>
              <w:rPr>
                <w:b/>
                <w:bCs/>
                <w:color w:val="163E58"/>
                <w:sz w:val="19"/>
                <w:szCs w:val="19"/>
              </w:rPr>
              <w:t xml:space="preserve">Beyond 12M</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Contracted receivables / payables</w:t>
            </w:r>
          </w:p>
        </w:tc>
        <w:tc>
          <w:tcPr>
            <w:tcW w:type="dxa" w:w="2100"/>
            <w:tcMar>
              <w:top w:type="dxa" w:w="90"/>
              <w:left w:type="dxa" w:w="120"/>
              <w:bottom w:type="dxa" w:w="90"/>
              <w:right w:type="dxa" w:w="120"/>
            </w:tcMar>
          </w:tcPr>
          <w:p>
            <w:r>
              <w:rPr>
                <w:b w:val="false"/>
                <w:bCs w:val="false"/>
                <w:color w:val="1B242B"/>
                <w:sz w:val="19"/>
                <w:szCs w:val="19"/>
              </w:rPr>
              <w:t xml:space="preserve">[80–100%]</w:t>
            </w:r>
          </w:p>
        </w:tc>
        <w:tc>
          <w:tcPr>
            <w:tcW w:type="dxa" w:w="2100"/>
            <w:tcMar>
              <w:top w:type="dxa" w:w="90"/>
              <w:left w:type="dxa" w:w="120"/>
              <w:bottom w:type="dxa" w:w="90"/>
              <w:right w:type="dxa" w:w="120"/>
            </w:tcMar>
          </w:tcPr>
          <w:p>
            <w:r>
              <w:rPr>
                <w:b w:val="false"/>
                <w:bCs w:val="false"/>
                <w:color w:val="1B242B"/>
                <w:sz w:val="19"/>
                <w:szCs w:val="19"/>
              </w:rPr>
              <w:t xml:space="preserve">[60–80%]</w:t>
            </w:r>
          </w:p>
        </w:tc>
        <w:tc>
          <w:tcPr>
            <w:tcW w:type="dxa" w:w="2600"/>
            <w:tcMar>
              <w:top w:type="dxa" w:w="90"/>
              <w:left w:type="dxa" w:w="120"/>
              <w:bottom w:type="dxa" w:w="90"/>
              <w:right w:type="dxa" w:w="120"/>
            </w:tcMar>
          </w:tcPr>
          <w:p>
            <w:r>
              <w:rPr>
                <w:b w:val="false"/>
                <w:bCs w:val="false"/>
                <w:color w:val="1B242B"/>
                <w:sz w:val="19"/>
                <w:szCs w:val="19"/>
              </w:rPr>
              <w:t xml:space="preserve">[case by case]</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Highly probable forecast</w:t>
            </w:r>
          </w:p>
        </w:tc>
        <w:tc>
          <w:tcPr>
            <w:tcW w:type="dxa" w:w="2100"/>
            <w:tcMar>
              <w:top w:type="dxa" w:w="90"/>
              <w:left w:type="dxa" w:w="120"/>
              <w:bottom w:type="dxa" w:w="90"/>
              <w:right w:type="dxa" w:w="120"/>
            </w:tcMar>
          </w:tcPr>
          <w:p>
            <w:r>
              <w:rPr>
                <w:b w:val="false"/>
                <w:bCs w:val="false"/>
                <w:color w:val="1B242B"/>
                <w:sz w:val="19"/>
                <w:szCs w:val="19"/>
              </w:rPr>
              <w:t xml:space="preserve">[50–70%]</w:t>
            </w:r>
          </w:p>
        </w:tc>
        <w:tc>
          <w:tcPr>
            <w:tcW w:type="dxa" w:w="2100"/>
            <w:tcMar>
              <w:top w:type="dxa" w:w="90"/>
              <w:left w:type="dxa" w:w="120"/>
              <w:bottom w:type="dxa" w:w="90"/>
              <w:right w:type="dxa" w:w="120"/>
            </w:tcMar>
          </w:tcPr>
          <w:p>
            <w:r>
              <w:rPr>
                <w:b w:val="false"/>
                <w:bCs w:val="false"/>
                <w:color w:val="1B242B"/>
                <w:sz w:val="19"/>
                <w:szCs w:val="19"/>
              </w:rPr>
              <w:t xml:space="preserve">[25–50%]</w:t>
            </w:r>
          </w:p>
        </w:tc>
        <w:tc>
          <w:tcPr>
            <w:tcW w:type="dxa" w:w="2600"/>
            <w:tcMar>
              <w:top w:type="dxa" w:w="90"/>
              <w:left w:type="dxa" w:w="120"/>
              <w:bottom w:type="dxa" w:w="90"/>
              <w:right w:type="dxa" w:w="120"/>
            </w:tcMar>
          </w:tcPr>
          <w:p>
            <w:r>
              <w:rPr>
                <w:b w:val="false"/>
                <w:bCs w:val="false"/>
                <w:color w:val="1B242B"/>
                <w:sz w:val="19"/>
                <w:szCs w:val="19"/>
              </w:rPr>
              <w:t xml:space="preserve">[0%]</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Tender / quoted but unawarded</w:t>
            </w:r>
          </w:p>
        </w:tc>
        <w:tc>
          <w:tcPr>
            <w:tcW w:type="dxa" w:w="2100"/>
            <w:tcMar>
              <w:top w:type="dxa" w:w="90"/>
              <w:left w:type="dxa" w:w="120"/>
              <w:bottom w:type="dxa" w:w="90"/>
              <w:right w:type="dxa" w:w="120"/>
            </w:tcMar>
          </w:tcPr>
          <w:p>
            <w:r>
              <w:rPr>
                <w:b w:val="false"/>
                <w:bCs w:val="false"/>
                <w:color w:val="1B242B"/>
                <w:sz w:val="19"/>
                <w:szCs w:val="19"/>
              </w:rPr>
              <w:t xml:space="preserve">[options only]</w:t>
            </w:r>
          </w:p>
        </w:tc>
        <w:tc>
          <w:tcPr>
            <w:tcW w:type="dxa" w:w="2100"/>
            <w:tcMar>
              <w:top w:type="dxa" w:w="90"/>
              <w:left w:type="dxa" w:w="120"/>
              <w:bottom w:type="dxa" w:w="90"/>
              <w:right w:type="dxa" w:w="120"/>
            </w:tcMar>
          </w:tcPr>
          <w:p>
            <w:r>
              <w:rPr>
                <w:b w:val="false"/>
                <w:bCs w:val="false"/>
                <w:color w:val="1B242B"/>
                <w:sz w:val="19"/>
                <w:szCs w:val="19"/>
              </w:rPr>
              <w:t xml:space="preserve">[options only]</w:t>
            </w:r>
          </w:p>
        </w:tc>
        <w:tc>
          <w:tcPr>
            <w:tcW w:type="dxa" w:w="2600"/>
            <w:tcMar>
              <w:top w:type="dxa" w:w="90"/>
              <w:left w:type="dxa" w:w="120"/>
              <w:bottom w:type="dxa" w:w="90"/>
              <w:right w:type="dxa" w:w="120"/>
            </w:tcMar>
          </w:tcPr>
          <w:p>
            <w:r>
              <w:rPr>
                <w:b w:val="false"/>
                <w:bCs w:val="false"/>
                <w:color w:val="1B242B"/>
                <w:sz w:val="19"/>
                <w:szCs w:val="19"/>
              </w:rPr>
              <w:t xml:space="preserve">[0%]</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Balance-sheet monetary items</w:t>
            </w:r>
          </w:p>
        </w:tc>
        <w:tc>
          <w:tcPr>
            <w:tcW w:type="dxa" w:w="2100"/>
            <w:tcMar>
              <w:top w:type="dxa" w:w="90"/>
              <w:left w:type="dxa" w:w="120"/>
              <w:bottom w:type="dxa" w:w="90"/>
              <w:right w:type="dxa" w:w="120"/>
            </w:tcMar>
          </w:tcPr>
          <w:p>
            <w:r>
              <w:rPr>
                <w:b w:val="false"/>
                <w:bCs w:val="false"/>
                <w:color w:val="1B242B"/>
                <w:sz w:val="19"/>
                <w:szCs w:val="19"/>
              </w:rPr>
              <w:t xml:space="preserve">[100%]</w:t>
            </w:r>
          </w:p>
        </w:tc>
        <w:tc>
          <w:tcPr>
            <w:tcW w:type="dxa" w:w="2100"/>
            <w:tcMar>
              <w:top w:type="dxa" w:w="90"/>
              <w:left w:type="dxa" w:w="120"/>
              <w:bottom w:type="dxa" w:w="90"/>
              <w:right w:type="dxa" w:w="120"/>
            </w:tcMar>
          </w:tcPr>
          <w:p>
            <w:r>
              <w:rPr>
                <w:b w:val="false"/>
                <w:bCs w:val="false"/>
                <w:color w:val="1B242B"/>
                <w:sz w:val="19"/>
                <w:szCs w:val="19"/>
              </w:rPr>
              <w:t xml:space="preserve">[100%]</w:t>
            </w:r>
          </w:p>
        </w:tc>
        <w:tc>
          <w:tcPr>
            <w:tcW w:type="dxa" w:w="2600"/>
            <w:tcMar>
              <w:top w:type="dxa" w:w="90"/>
              <w:left w:type="dxa" w:w="120"/>
              <w:bottom w:type="dxa" w:w="90"/>
              <w:right w:type="dxa" w:w="120"/>
            </w:tcMar>
          </w:tcPr>
          <w:p>
            <w:r>
              <w:rPr>
                <w:b w:val="false"/>
                <w:bCs w:val="false"/>
                <w:color w:val="1B242B"/>
                <w:sz w:val="19"/>
                <w:szCs w:val="19"/>
              </w:rPr>
              <w:t xml:space="preserve">[n/a]</w:t>
            </w:r>
          </w:p>
        </w:tc>
      </w:tr>
    </w:tbl>
    <w:p/>
    <w:p>
      <w:pPr>
        <w:spacing w:after="110"/>
      </w:pPr>
      <w:r>
        <w:rPr>
          <w:i w:val="false"/>
          <w:iCs w:val="false"/>
          <w:color w:val="5A6871"/>
          <w:sz w:val="21"/>
          <w:szCs w:val="21"/>
        </w:rPr>
        <w:t xml:space="preserve">Rationale for not hedging 100%: forecast flows can be cancelled, and a hedge against a cancelled flow becomes an open position in the opposite direction. Ratios decline with tenor for the same reason.</w:t>
      </w:r>
    </w:p>
    <w:p>
      <w:pPr>
        <w:pStyle w:val="Heading1"/>
        <w:spacing w:after="110" w:before="260"/>
      </w:pPr>
      <w:r>
        <w:t xml:space="preserve">5. Permitted instruments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600"/>
        <w:gridCol w:w="2100"/>
        <w:gridCol w:w="2100"/>
        <w:gridCol w:w="2600"/>
      </w:tblGrid>
      <w:tr>
        <w:trPr>
          <w:tblHeader/>
        </w:trPr>
        <w:tc>
          <w:tcPr>
            <w:tcW w:type="dxa" w:w="2600"/>
            <w:shd w:fill="EEF2F5" w:color="auto" w:val="clear"/>
            <w:tcMar>
              <w:top w:type="dxa" w:w="90"/>
              <w:left w:type="dxa" w:w="120"/>
              <w:bottom w:type="dxa" w:w="90"/>
              <w:right w:type="dxa" w:w="120"/>
            </w:tcMar>
          </w:tcPr>
          <w:p>
            <w:r>
              <w:rPr>
                <w:b/>
                <w:bCs/>
                <w:color w:val="163E58"/>
                <w:sz w:val="19"/>
                <w:szCs w:val="19"/>
              </w:rPr>
              <w:t xml:space="preserve">Instrument</w:t>
            </w:r>
          </w:p>
        </w:tc>
        <w:tc>
          <w:tcPr>
            <w:tcW w:type="dxa" w:w="2100"/>
            <w:shd w:fill="EEF2F5" w:color="auto" w:val="clear"/>
            <w:tcMar>
              <w:top w:type="dxa" w:w="90"/>
              <w:left w:type="dxa" w:w="120"/>
              <w:bottom w:type="dxa" w:w="90"/>
              <w:right w:type="dxa" w:w="120"/>
            </w:tcMar>
          </w:tcPr>
          <w:p>
            <w:r>
              <w:rPr>
                <w:b/>
                <w:bCs/>
                <w:color w:val="163E58"/>
                <w:sz w:val="19"/>
                <w:szCs w:val="19"/>
              </w:rPr>
              <w:t xml:space="preserve">Permitted</w:t>
            </w:r>
          </w:p>
        </w:tc>
        <w:tc>
          <w:tcPr>
            <w:tcW w:type="dxa" w:w="2100"/>
            <w:shd w:fill="EEF2F5" w:color="auto" w:val="clear"/>
            <w:tcMar>
              <w:top w:type="dxa" w:w="90"/>
              <w:left w:type="dxa" w:w="120"/>
              <w:bottom w:type="dxa" w:w="90"/>
              <w:right w:type="dxa" w:w="120"/>
            </w:tcMar>
          </w:tcPr>
          <w:p>
            <w:r>
              <w:rPr>
                <w:b/>
                <w:bCs/>
                <w:color w:val="163E58"/>
                <w:sz w:val="19"/>
                <w:szCs w:val="19"/>
              </w:rPr>
              <w:t xml:space="preserve">Approval</w:t>
            </w:r>
          </w:p>
        </w:tc>
        <w:tc>
          <w:tcPr>
            <w:tcW w:type="dxa" w:w="2600"/>
            <w:shd w:fill="EEF2F5" w:color="auto" w:val="clear"/>
            <w:tcMar>
              <w:top w:type="dxa" w:w="90"/>
              <w:left w:type="dxa" w:w="120"/>
              <w:bottom w:type="dxa" w:w="90"/>
              <w:right w:type="dxa" w:w="120"/>
            </w:tcMar>
          </w:tcPr>
          <w:p>
            <w:r>
              <w:rPr>
                <w:b/>
                <w:bCs/>
                <w:color w:val="163E58"/>
                <w:sz w:val="19"/>
                <w:szCs w:val="19"/>
              </w:rPr>
              <w:t xml:space="preserve">Use</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FX spot</w:t>
            </w:r>
          </w:p>
        </w:tc>
        <w:tc>
          <w:tcPr>
            <w:tcW w:type="dxa" w:w="2100"/>
            <w:tcMar>
              <w:top w:type="dxa" w:w="90"/>
              <w:left w:type="dxa" w:w="120"/>
              <w:bottom w:type="dxa" w:w="90"/>
              <w:right w:type="dxa" w:w="120"/>
            </w:tcMar>
          </w:tcPr>
          <w:p>
            <w:r>
              <w:rPr>
                <w:b w:val="false"/>
                <w:bCs w:val="false"/>
                <w:color w:val="1B242B"/>
                <w:sz w:val="19"/>
                <w:szCs w:val="19"/>
              </w:rPr>
              <w:t xml:space="preserve">Yes</w:t>
            </w:r>
          </w:p>
        </w:tc>
        <w:tc>
          <w:tcPr>
            <w:tcW w:type="dxa" w:w="2100"/>
            <w:tcMar>
              <w:top w:type="dxa" w:w="90"/>
              <w:left w:type="dxa" w:w="120"/>
              <w:bottom w:type="dxa" w:w="90"/>
              <w:right w:type="dxa" w:w="120"/>
            </w:tcMar>
          </w:tcPr>
          <w:p>
            <w:r>
              <w:rPr>
                <w:b w:val="false"/>
                <w:bCs w:val="false"/>
                <w:color w:val="1B242B"/>
                <w:sz w:val="19"/>
                <w:szCs w:val="19"/>
              </w:rPr>
              <w:t xml:space="preserve">Treasury</w:t>
            </w:r>
          </w:p>
        </w:tc>
        <w:tc>
          <w:tcPr>
            <w:tcW w:type="dxa" w:w="2600"/>
            <w:tcMar>
              <w:top w:type="dxa" w:w="90"/>
              <w:left w:type="dxa" w:w="120"/>
              <w:bottom w:type="dxa" w:w="90"/>
              <w:right w:type="dxa" w:w="120"/>
            </w:tcMar>
          </w:tcPr>
          <w:p>
            <w:r>
              <w:rPr>
                <w:b w:val="false"/>
                <w:bCs w:val="false"/>
                <w:color w:val="1B242B"/>
                <w:sz w:val="19"/>
                <w:szCs w:val="19"/>
              </w:rPr>
              <w:t xml:space="preserve">Settlement</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Outright forward</w:t>
            </w:r>
          </w:p>
        </w:tc>
        <w:tc>
          <w:tcPr>
            <w:tcW w:type="dxa" w:w="2100"/>
            <w:tcMar>
              <w:top w:type="dxa" w:w="90"/>
              <w:left w:type="dxa" w:w="120"/>
              <w:bottom w:type="dxa" w:w="90"/>
              <w:right w:type="dxa" w:w="120"/>
            </w:tcMar>
          </w:tcPr>
          <w:p>
            <w:r>
              <w:rPr>
                <w:b w:val="false"/>
                <w:bCs w:val="false"/>
                <w:color w:val="1B242B"/>
                <w:sz w:val="19"/>
                <w:szCs w:val="19"/>
              </w:rPr>
              <w:t xml:space="preserve">Yes</w:t>
            </w:r>
          </w:p>
        </w:tc>
        <w:tc>
          <w:tcPr>
            <w:tcW w:type="dxa" w:w="2100"/>
            <w:tcMar>
              <w:top w:type="dxa" w:w="90"/>
              <w:left w:type="dxa" w:w="120"/>
              <w:bottom w:type="dxa" w:w="90"/>
              <w:right w:type="dxa" w:w="120"/>
            </w:tcMar>
          </w:tcPr>
          <w:p>
            <w:r>
              <w:rPr>
                <w:b w:val="false"/>
                <w:bCs w:val="false"/>
                <w:color w:val="1B242B"/>
                <w:sz w:val="19"/>
                <w:szCs w:val="19"/>
              </w:rPr>
              <w:t xml:space="preserve">Treasury</w:t>
            </w:r>
          </w:p>
        </w:tc>
        <w:tc>
          <w:tcPr>
            <w:tcW w:type="dxa" w:w="2600"/>
            <w:tcMar>
              <w:top w:type="dxa" w:w="90"/>
              <w:left w:type="dxa" w:w="120"/>
              <w:bottom w:type="dxa" w:w="90"/>
              <w:right w:type="dxa" w:w="120"/>
            </w:tcMar>
          </w:tcPr>
          <w:p>
            <w:r>
              <w:rPr>
                <w:b w:val="false"/>
                <w:bCs w:val="false"/>
                <w:color w:val="1B242B"/>
                <w:sz w:val="19"/>
                <w:szCs w:val="19"/>
              </w:rPr>
              <w:t xml:space="preserve">Core hedging tool</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FX swap</w:t>
            </w:r>
          </w:p>
        </w:tc>
        <w:tc>
          <w:tcPr>
            <w:tcW w:type="dxa" w:w="2100"/>
            <w:tcMar>
              <w:top w:type="dxa" w:w="90"/>
              <w:left w:type="dxa" w:w="120"/>
              <w:bottom w:type="dxa" w:w="90"/>
              <w:right w:type="dxa" w:w="120"/>
            </w:tcMar>
          </w:tcPr>
          <w:p>
            <w:r>
              <w:rPr>
                <w:b w:val="false"/>
                <w:bCs w:val="false"/>
                <w:color w:val="1B242B"/>
                <w:sz w:val="19"/>
                <w:szCs w:val="19"/>
              </w:rPr>
              <w:t xml:space="preserve">Yes</w:t>
            </w:r>
          </w:p>
        </w:tc>
        <w:tc>
          <w:tcPr>
            <w:tcW w:type="dxa" w:w="2100"/>
            <w:tcMar>
              <w:top w:type="dxa" w:w="90"/>
              <w:left w:type="dxa" w:w="120"/>
              <w:bottom w:type="dxa" w:w="90"/>
              <w:right w:type="dxa" w:w="120"/>
            </w:tcMar>
          </w:tcPr>
          <w:p>
            <w:r>
              <w:rPr>
                <w:b w:val="false"/>
                <w:bCs w:val="false"/>
                <w:color w:val="1B242B"/>
                <w:sz w:val="19"/>
                <w:szCs w:val="19"/>
              </w:rPr>
              <w:t xml:space="preserve">Treasury</w:t>
            </w:r>
          </w:p>
        </w:tc>
        <w:tc>
          <w:tcPr>
            <w:tcW w:type="dxa" w:w="2600"/>
            <w:tcMar>
              <w:top w:type="dxa" w:w="90"/>
              <w:left w:type="dxa" w:w="120"/>
              <w:bottom w:type="dxa" w:w="90"/>
              <w:right w:type="dxa" w:w="120"/>
            </w:tcMar>
          </w:tcPr>
          <w:p>
            <w:r>
              <w:rPr>
                <w:b w:val="false"/>
                <w:bCs w:val="false"/>
                <w:color w:val="1B242B"/>
                <w:sz w:val="19"/>
                <w:szCs w:val="19"/>
              </w:rPr>
              <w:t xml:space="preserve">Rolling and date adjustment</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Vanilla purchased option</w:t>
            </w:r>
          </w:p>
        </w:tc>
        <w:tc>
          <w:tcPr>
            <w:tcW w:type="dxa" w:w="2100"/>
            <w:tcMar>
              <w:top w:type="dxa" w:w="90"/>
              <w:left w:type="dxa" w:w="120"/>
              <w:bottom w:type="dxa" w:w="90"/>
              <w:right w:type="dxa" w:w="120"/>
            </w:tcMar>
          </w:tcPr>
          <w:p>
            <w:r>
              <w:rPr>
                <w:b w:val="false"/>
                <w:bCs w:val="false"/>
                <w:color w:val="1B242B"/>
                <w:sz w:val="19"/>
                <w:szCs w:val="19"/>
              </w:rPr>
              <w:t xml:space="preserve">[Yes]</w:t>
            </w:r>
          </w:p>
        </w:tc>
        <w:tc>
          <w:tcPr>
            <w:tcW w:type="dxa" w:w="2100"/>
            <w:tcMar>
              <w:top w:type="dxa" w:w="90"/>
              <w:left w:type="dxa" w:w="120"/>
              <w:bottom w:type="dxa" w:w="90"/>
              <w:right w:type="dxa" w:w="120"/>
            </w:tcMar>
          </w:tcPr>
          <w:p>
            <w:r>
              <w:rPr>
                <w:b w:val="false"/>
                <w:bCs w:val="false"/>
                <w:color w:val="1B242B"/>
                <w:sz w:val="19"/>
                <w:szCs w:val="19"/>
              </w:rPr>
              <w:t xml:space="preserve">[CFO]</w:t>
            </w:r>
          </w:p>
        </w:tc>
        <w:tc>
          <w:tcPr>
            <w:tcW w:type="dxa" w:w="2600"/>
            <w:tcMar>
              <w:top w:type="dxa" w:w="90"/>
              <w:left w:type="dxa" w:w="120"/>
              <w:bottom w:type="dxa" w:w="90"/>
              <w:right w:type="dxa" w:w="120"/>
            </w:tcMar>
          </w:tcPr>
          <w:p>
            <w:r>
              <w:rPr>
                <w:b w:val="false"/>
                <w:bCs w:val="false"/>
                <w:color w:val="1B242B"/>
                <w:sz w:val="19"/>
                <w:szCs w:val="19"/>
              </w:rPr>
              <w:t xml:space="preserve">Tenders, uncertain flows</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Collar (zero-cost)</w:t>
            </w:r>
          </w:p>
        </w:tc>
        <w:tc>
          <w:tcPr>
            <w:tcW w:type="dxa" w:w="2100"/>
            <w:tcMar>
              <w:top w:type="dxa" w:w="90"/>
              <w:left w:type="dxa" w:w="120"/>
              <w:bottom w:type="dxa" w:w="90"/>
              <w:right w:type="dxa" w:w="120"/>
            </w:tcMar>
          </w:tcPr>
          <w:p>
            <w:r>
              <w:rPr>
                <w:b w:val="false"/>
                <w:bCs w:val="false"/>
                <w:color w:val="1B242B"/>
                <w:sz w:val="19"/>
                <w:szCs w:val="19"/>
              </w:rPr>
              <w:t xml:space="preserve">[Yes]</w:t>
            </w:r>
          </w:p>
        </w:tc>
        <w:tc>
          <w:tcPr>
            <w:tcW w:type="dxa" w:w="2100"/>
            <w:tcMar>
              <w:top w:type="dxa" w:w="90"/>
              <w:left w:type="dxa" w:w="120"/>
              <w:bottom w:type="dxa" w:w="90"/>
              <w:right w:type="dxa" w:w="120"/>
            </w:tcMar>
          </w:tcPr>
          <w:p>
            <w:r>
              <w:rPr>
                <w:b w:val="false"/>
                <w:bCs w:val="false"/>
                <w:color w:val="1B242B"/>
                <w:sz w:val="19"/>
                <w:szCs w:val="19"/>
              </w:rPr>
              <w:t xml:space="preserve">[CFO]</w:t>
            </w:r>
          </w:p>
        </w:tc>
        <w:tc>
          <w:tcPr>
            <w:tcW w:type="dxa" w:w="2600"/>
            <w:tcMar>
              <w:top w:type="dxa" w:w="90"/>
              <w:left w:type="dxa" w:w="120"/>
              <w:bottom w:type="dxa" w:w="90"/>
              <w:right w:type="dxa" w:w="120"/>
            </w:tcMar>
          </w:tcPr>
          <w:p>
            <w:r>
              <w:rPr>
                <w:b w:val="false"/>
                <w:bCs w:val="false"/>
                <w:color w:val="1B242B"/>
                <w:sz w:val="19"/>
                <w:szCs w:val="19"/>
              </w:rPr>
              <w:t xml:space="preserve">Where premium is unacceptable</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Non-deliverable forward</w:t>
            </w:r>
          </w:p>
        </w:tc>
        <w:tc>
          <w:tcPr>
            <w:tcW w:type="dxa" w:w="2100"/>
            <w:tcMar>
              <w:top w:type="dxa" w:w="90"/>
              <w:left w:type="dxa" w:w="120"/>
              <w:bottom w:type="dxa" w:w="90"/>
              <w:right w:type="dxa" w:w="120"/>
            </w:tcMar>
          </w:tcPr>
          <w:p>
            <w:r>
              <w:rPr>
                <w:b w:val="false"/>
                <w:bCs w:val="false"/>
                <w:color w:val="1B242B"/>
                <w:sz w:val="19"/>
                <w:szCs w:val="19"/>
              </w:rPr>
              <w:t xml:space="preserve">[Yes]</w:t>
            </w:r>
          </w:p>
        </w:tc>
        <w:tc>
          <w:tcPr>
            <w:tcW w:type="dxa" w:w="2100"/>
            <w:tcMar>
              <w:top w:type="dxa" w:w="90"/>
              <w:left w:type="dxa" w:w="120"/>
              <w:bottom w:type="dxa" w:w="90"/>
              <w:right w:type="dxa" w:w="120"/>
            </w:tcMar>
          </w:tcPr>
          <w:p>
            <w:r>
              <w:rPr>
                <w:b w:val="false"/>
                <w:bCs w:val="false"/>
                <w:color w:val="1B242B"/>
                <w:sz w:val="19"/>
                <w:szCs w:val="19"/>
              </w:rPr>
              <w:t xml:space="preserve">[CFO]</w:t>
            </w:r>
          </w:p>
        </w:tc>
        <w:tc>
          <w:tcPr>
            <w:tcW w:type="dxa" w:w="2600"/>
            <w:tcMar>
              <w:top w:type="dxa" w:w="90"/>
              <w:left w:type="dxa" w:w="120"/>
              <w:bottom w:type="dxa" w:w="90"/>
              <w:right w:type="dxa" w:w="120"/>
            </w:tcMar>
          </w:tcPr>
          <w:p>
            <w:r>
              <w:rPr>
                <w:b w:val="false"/>
                <w:bCs w:val="false"/>
                <w:color w:val="1B242B"/>
                <w:sz w:val="19"/>
                <w:szCs w:val="19"/>
              </w:rPr>
              <w:t xml:space="preserve">Restricted currencies</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Leveraged or exotic structures</w:t>
            </w:r>
          </w:p>
        </w:tc>
        <w:tc>
          <w:tcPr>
            <w:tcW w:type="dxa" w:w="2100"/>
            <w:tcMar>
              <w:top w:type="dxa" w:w="90"/>
              <w:left w:type="dxa" w:w="120"/>
              <w:bottom w:type="dxa" w:w="90"/>
              <w:right w:type="dxa" w:w="120"/>
            </w:tcMar>
          </w:tcPr>
          <w:p>
            <w:r>
              <w:rPr>
                <w:b w:val="false"/>
                <w:bCs w:val="false"/>
                <w:color w:val="1B242B"/>
                <w:sz w:val="19"/>
                <w:szCs w:val="19"/>
              </w:rPr>
              <w:t xml:space="preserve">No</w:t>
            </w:r>
          </w:p>
        </w:tc>
        <w:tc>
          <w:tcPr>
            <w:tcW w:type="dxa" w:w="2100"/>
            <w:tcMar>
              <w:top w:type="dxa" w:w="90"/>
              <w:left w:type="dxa" w:w="120"/>
              <w:bottom w:type="dxa" w:w="90"/>
              <w:right w:type="dxa" w:w="120"/>
            </w:tcMar>
          </w:tcPr>
          <w:p>
            <w:r>
              <w:rPr>
                <w:b w:val="false"/>
                <w:bCs w:val="false"/>
                <w:color w:val="1B242B"/>
                <w:sz w:val="19"/>
                <w:szCs w:val="19"/>
              </w:rPr>
              <w:t xml:space="preserve">Prohibited</w:t>
            </w:r>
          </w:p>
        </w:tc>
        <w:tc>
          <w:tcPr>
            <w:tcW w:type="dxa" w:w="2600"/>
            <w:tcMar>
              <w:top w:type="dxa" w:w="90"/>
              <w:left w:type="dxa" w:w="120"/>
              <w:bottom w:type="dxa" w:w="90"/>
              <w:right w:type="dxa" w:w="120"/>
            </w:tcMar>
          </w:tcPr>
          <w:p>
            <w:r>
              <w:rPr>
                <w:b w:val="false"/>
                <w:bCs w:val="false"/>
                <w:color w:val="1B242B"/>
                <w:sz w:val="19"/>
                <w:szCs w:val="19"/>
              </w:rPr>
              <w:t xml:space="preserve">—</w:t>
            </w:r>
          </w:p>
        </w:tc>
      </w:tr>
    </w:tbl>
    <w:p/>
    <w:p>
      <w:pPr>
        <w:spacing w:after="110"/>
      </w:pPr>
      <w:r>
        <w:rPr>
          <w:i/>
          <w:iCs/>
          <w:color w:val="1B242B"/>
          <w:sz w:val="21"/>
          <w:szCs w:val="21"/>
        </w:rPr>
        <w:t xml:space="preserve">Any structure whose notional can increase, or that embeds a sold option beyond a plain collar, is prohibited regardless of the premium offered.</w:t>
      </w:r>
    </w:p>
    <w:p>
      <w:pPr>
        <w:pStyle w:val="Heading1"/>
        <w:spacing w:after="110" w:before="260"/>
      </w:pPr>
      <w:r>
        <w:t xml:space="preserve">6. Counterparties and execution</w:t>
      </w:r>
    </w:p>
    <w:p>
      <w:pPr>
        <w:pStyle w:val="ListParagraph"/>
        <w:numPr>
          <w:ilvl w:val="0"/>
          <w:numId w:val="2"/>
        </w:numPr>
        <w:spacing w:after="70"/>
      </w:pPr>
      <w:r>
        <w:rPr>
          <w:sz w:val="21"/>
          <w:szCs w:val="21"/>
        </w:rPr>
        <w:t xml:space="preserve">Minimum [three] banks or brokers must be available to quote for any transaction above [USD 1,000,000].</w:t>
      </w:r>
    </w:p>
    <w:p>
      <w:pPr>
        <w:pStyle w:val="ListParagraph"/>
        <w:numPr>
          <w:ilvl w:val="0"/>
          <w:numId w:val="2"/>
        </w:numPr>
        <w:spacing w:after="70"/>
      </w:pPr>
      <w:r>
        <w:rPr>
          <w:sz w:val="21"/>
          <w:szCs w:val="21"/>
        </w:rPr>
        <w:t xml:space="preserve">Every quote is benchmarked against the prevailing interbank mid rate at the time of dealing; the spread paid is recorded in the execution log.</w:t>
      </w:r>
    </w:p>
    <w:p>
      <w:pPr>
        <w:pStyle w:val="ListParagraph"/>
        <w:numPr>
          <w:ilvl w:val="0"/>
          <w:numId w:val="2"/>
        </w:numPr>
        <w:spacing w:after="70"/>
      </w:pPr>
      <w:r>
        <w:rPr>
          <w:sz w:val="21"/>
          <w:szCs w:val="21"/>
        </w:rPr>
        <w:t xml:space="preserve">Credit and settlement limits per counterparty: [table or reference].</w:t>
      </w:r>
    </w:p>
    <w:p>
      <w:pPr>
        <w:pStyle w:val="ListParagraph"/>
        <w:numPr>
          <w:ilvl w:val="0"/>
          <w:numId w:val="2"/>
        </w:numPr>
        <w:spacing w:after="70"/>
      </w:pPr>
      <w:r>
        <w:rPr>
          <w:sz w:val="21"/>
          <w:szCs w:val="21"/>
        </w:rPr>
        <w:t xml:space="preserve">Collateral and margin arrangements are reviewed before any exchange-traded or cleared hedge is used, so that a margin call cannot create a liquidity event.</w:t>
      </w:r>
    </w:p>
    <w:p>
      <w:pPr>
        <w:pStyle w:val="ListParagraph"/>
        <w:numPr>
          <w:ilvl w:val="0"/>
          <w:numId w:val="2"/>
        </w:numPr>
        <w:spacing w:after="70"/>
      </w:pPr>
      <w:r>
        <w:rPr>
          <w:sz w:val="21"/>
          <w:szCs w:val="21"/>
        </w:rPr>
        <w:t xml:space="preserve">Dealing mandate: only named individuals in [Appendix A] may commit the company to a transaction.</w:t>
      </w:r>
    </w:p>
    <w:p>
      <w:pPr>
        <w:pStyle w:val="Heading1"/>
        <w:spacing w:after="110" w:before="260"/>
      </w:pPr>
      <w:r>
        <w:t xml:space="preserve">7. Approvals and segregation of duties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600"/>
        <w:gridCol w:w="2100"/>
        <w:gridCol w:w="2100"/>
        <w:gridCol w:w="2600"/>
      </w:tblGrid>
      <w:tr>
        <w:trPr>
          <w:tblHeader/>
        </w:trPr>
        <w:tc>
          <w:tcPr>
            <w:tcW w:type="dxa" w:w="2600"/>
            <w:shd w:fill="EEF2F5" w:color="auto" w:val="clear"/>
            <w:tcMar>
              <w:top w:type="dxa" w:w="90"/>
              <w:left w:type="dxa" w:w="120"/>
              <w:bottom w:type="dxa" w:w="90"/>
              <w:right w:type="dxa" w:w="120"/>
            </w:tcMar>
          </w:tcPr>
          <w:p>
            <w:r>
              <w:rPr>
                <w:b/>
                <w:bCs/>
                <w:color w:val="163E58"/>
                <w:sz w:val="19"/>
                <w:szCs w:val="19"/>
              </w:rPr>
              <w:t xml:space="preserve">Action</w:t>
            </w:r>
          </w:p>
        </w:tc>
        <w:tc>
          <w:tcPr>
            <w:tcW w:type="dxa" w:w="2100"/>
            <w:shd w:fill="EEF2F5" w:color="auto" w:val="clear"/>
            <w:tcMar>
              <w:top w:type="dxa" w:w="90"/>
              <w:left w:type="dxa" w:w="120"/>
              <w:bottom w:type="dxa" w:w="90"/>
              <w:right w:type="dxa" w:w="120"/>
            </w:tcMar>
          </w:tcPr>
          <w:p>
            <w:r>
              <w:rPr>
                <w:b/>
                <w:bCs/>
                <w:color w:val="163E58"/>
                <w:sz w:val="19"/>
                <w:szCs w:val="19"/>
              </w:rPr>
              <w:t xml:space="preserve">Initiates</w:t>
            </w:r>
          </w:p>
        </w:tc>
        <w:tc>
          <w:tcPr>
            <w:tcW w:type="dxa" w:w="2100"/>
            <w:shd w:fill="EEF2F5" w:color="auto" w:val="clear"/>
            <w:tcMar>
              <w:top w:type="dxa" w:w="90"/>
              <w:left w:type="dxa" w:w="120"/>
              <w:bottom w:type="dxa" w:w="90"/>
              <w:right w:type="dxa" w:w="120"/>
            </w:tcMar>
          </w:tcPr>
          <w:p>
            <w:r>
              <w:rPr>
                <w:b/>
                <w:bCs/>
                <w:color w:val="163E58"/>
                <w:sz w:val="19"/>
                <w:szCs w:val="19"/>
              </w:rPr>
              <w:t xml:space="preserve">Approves</w:t>
            </w:r>
          </w:p>
        </w:tc>
        <w:tc>
          <w:tcPr>
            <w:tcW w:type="dxa" w:w="2600"/>
            <w:shd w:fill="EEF2F5" w:color="auto" w:val="clear"/>
            <w:tcMar>
              <w:top w:type="dxa" w:w="90"/>
              <w:left w:type="dxa" w:w="120"/>
              <w:bottom w:type="dxa" w:w="90"/>
              <w:right w:type="dxa" w:w="120"/>
            </w:tcMar>
          </w:tcPr>
          <w:p>
            <w:r>
              <w:rPr>
                <w:b/>
                <w:bCs/>
                <w:color w:val="163E58"/>
                <w:sz w:val="19"/>
                <w:szCs w:val="19"/>
              </w:rPr>
              <w:t xml:space="preserve">Records</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Hedge within policy</w:t>
            </w:r>
          </w:p>
        </w:tc>
        <w:tc>
          <w:tcPr>
            <w:tcW w:type="dxa" w:w="2100"/>
            <w:tcMar>
              <w:top w:type="dxa" w:w="90"/>
              <w:left w:type="dxa" w:w="120"/>
              <w:bottom w:type="dxa" w:w="90"/>
              <w:right w:type="dxa" w:w="120"/>
            </w:tcMar>
          </w:tcPr>
          <w:p>
            <w:r>
              <w:rPr>
                <w:b w:val="false"/>
                <w:bCs w:val="false"/>
                <w:color w:val="1B242B"/>
                <w:sz w:val="19"/>
                <w:szCs w:val="19"/>
              </w:rPr>
              <w:t xml:space="preserve">[Treasury]</w:t>
            </w:r>
          </w:p>
        </w:tc>
        <w:tc>
          <w:tcPr>
            <w:tcW w:type="dxa" w:w="2100"/>
            <w:tcMar>
              <w:top w:type="dxa" w:w="90"/>
              <w:left w:type="dxa" w:w="120"/>
              <w:bottom w:type="dxa" w:w="90"/>
              <w:right w:type="dxa" w:w="120"/>
            </w:tcMar>
          </w:tcPr>
          <w:p>
            <w:r>
              <w:rPr>
                <w:b w:val="false"/>
                <w:bCs w:val="false"/>
                <w:color w:val="1B242B"/>
                <w:sz w:val="19"/>
                <w:szCs w:val="19"/>
              </w:rPr>
              <w:t xml:space="preserve">[Treasurer]</w:t>
            </w:r>
          </w:p>
        </w:tc>
        <w:tc>
          <w:tcPr>
            <w:tcW w:type="dxa" w:w="2600"/>
            <w:tcMar>
              <w:top w:type="dxa" w:w="90"/>
              <w:left w:type="dxa" w:w="120"/>
              <w:bottom w:type="dxa" w:w="90"/>
              <w:right w:type="dxa" w:w="120"/>
            </w:tcMar>
          </w:tcPr>
          <w:p>
            <w:r>
              <w:rPr>
                <w:b w:val="false"/>
                <w:bCs w:val="false"/>
                <w:color w:val="1B242B"/>
                <w:sz w:val="19"/>
                <w:szCs w:val="19"/>
              </w:rPr>
              <w:t xml:space="preserve">[Finance]</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Hedge outside policy</w:t>
            </w:r>
          </w:p>
        </w:tc>
        <w:tc>
          <w:tcPr>
            <w:tcW w:type="dxa" w:w="2100"/>
            <w:tcMar>
              <w:top w:type="dxa" w:w="90"/>
              <w:left w:type="dxa" w:w="120"/>
              <w:bottom w:type="dxa" w:w="90"/>
              <w:right w:type="dxa" w:w="120"/>
            </w:tcMar>
          </w:tcPr>
          <w:p>
            <w:r>
              <w:rPr>
                <w:b w:val="false"/>
                <w:bCs w:val="false"/>
                <w:color w:val="1B242B"/>
                <w:sz w:val="19"/>
                <w:szCs w:val="19"/>
              </w:rPr>
              <w:t xml:space="preserve">[Treasury]</w:t>
            </w:r>
          </w:p>
        </w:tc>
        <w:tc>
          <w:tcPr>
            <w:tcW w:type="dxa" w:w="2100"/>
            <w:tcMar>
              <w:top w:type="dxa" w:w="90"/>
              <w:left w:type="dxa" w:w="120"/>
              <w:bottom w:type="dxa" w:w="90"/>
              <w:right w:type="dxa" w:w="120"/>
            </w:tcMar>
          </w:tcPr>
          <w:p>
            <w:r>
              <w:rPr>
                <w:b w:val="false"/>
                <w:bCs w:val="false"/>
                <w:color w:val="1B242B"/>
                <w:sz w:val="19"/>
                <w:szCs w:val="19"/>
              </w:rPr>
              <w:t xml:space="preserve">[CFO + Board]</w:t>
            </w:r>
          </w:p>
        </w:tc>
        <w:tc>
          <w:tcPr>
            <w:tcW w:type="dxa" w:w="2600"/>
            <w:tcMar>
              <w:top w:type="dxa" w:w="90"/>
              <w:left w:type="dxa" w:w="120"/>
              <w:bottom w:type="dxa" w:w="90"/>
              <w:right w:type="dxa" w:w="120"/>
            </w:tcMar>
          </w:tcPr>
          <w:p>
            <w:r>
              <w:rPr>
                <w:b w:val="false"/>
                <w:bCs w:val="false"/>
                <w:color w:val="1B242B"/>
                <w:sz w:val="19"/>
                <w:szCs w:val="19"/>
              </w:rPr>
              <w:t xml:space="preserve">[Finance]</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New counterparty</w:t>
            </w:r>
          </w:p>
        </w:tc>
        <w:tc>
          <w:tcPr>
            <w:tcW w:type="dxa" w:w="2100"/>
            <w:tcMar>
              <w:top w:type="dxa" w:w="90"/>
              <w:left w:type="dxa" w:w="120"/>
              <w:bottom w:type="dxa" w:w="90"/>
              <w:right w:type="dxa" w:w="120"/>
            </w:tcMar>
          </w:tcPr>
          <w:p>
            <w:r>
              <w:rPr>
                <w:b w:val="false"/>
                <w:bCs w:val="false"/>
                <w:color w:val="1B242B"/>
                <w:sz w:val="19"/>
                <w:szCs w:val="19"/>
              </w:rPr>
              <w:t xml:space="preserve">[Treasury]</w:t>
            </w:r>
          </w:p>
        </w:tc>
        <w:tc>
          <w:tcPr>
            <w:tcW w:type="dxa" w:w="2100"/>
            <w:tcMar>
              <w:top w:type="dxa" w:w="90"/>
              <w:left w:type="dxa" w:w="120"/>
              <w:bottom w:type="dxa" w:w="90"/>
              <w:right w:type="dxa" w:w="120"/>
            </w:tcMar>
          </w:tcPr>
          <w:p>
            <w:r>
              <w:rPr>
                <w:b w:val="false"/>
                <w:bCs w:val="false"/>
                <w:color w:val="1B242B"/>
                <w:sz w:val="19"/>
                <w:szCs w:val="19"/>
              </w:rPr>
              <w:t xml:space="preserve">[CFO]</w:t>
            </w:r>
          </w:p>
        </w:tc>
        <w:tc>
          <w:tcPr>
            <w:tcW w:type="dxa" w:w="2600"/>
            <w:tcMar>
              <w:top w:type="dxa" w:w="90"/>
              <w:left w:type="dxa" w:w="120"/>
              <w:bottom w:type="dxa" w:w="90"/>
              <w:right w:type="dxa" w:w="120"/>
            </w:tcMar>
          </w:tcPr>
          <w:p>
            <w:r>
              <w:rPr>
                <w:b w:val="false"/>
                <w:bCs w:val="false"/>
                <w:color w:val="1B242B"/>
                <w:sz w:val="19"/>
                <w:szCs w:val="19"/>
              </w:rPr>
              <w:t xml:space="preserve">[Finance]</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Early unwind of a hedge</w:t>
            </w:r>
          </w:p>
        </w:tc>
        <w:tc>
          <w:tcPr>
            <w:tcW w:type="dxa" w:w="2100"/>
            <w:tcMar>
              <w:top w:type="dxa" w:w="90"/>
              <w:left w:type="dxa" w:w="120"/>
              <w:bottom w:type="dxa" w:w="90"/>
              <w:right w:type="dxa" w:w="120"/>
            </w:tcMar>
          </w:tcPr>
          <w:p>
            <w:r>
              <w:rPr>
                <w:b w:val="false"/>
                <w:bCs w:val="false"/>
                <w:color w:val="1B242B"/>
                <w:sz w:val="19"/>
                <w:szCs w:val="19"/>
              </w:rPr>
              <w:t xml:space="preserve">[Treasury]</w:t>
            </w:r>
          </w:p>
        </w:tc>
        <w:tc>
          <w:tcPr>
            <w:tcW w:type="dxa" w:w="2100"/>
            <w:tcMar>
              <w:top w:type="dxa" w:w="90"/>
              <w:left w:type="dxa" w:w="120"/>
              <w:bottom w:type="dxa" w:w="90"/>
              <w:right w:type="dxa" w:w="120"/>
            </w:tcMar>
          </w:tcPr>
          <w:p>
            <w:r>
              <w:rPr>
                <w:b w:val="false"/>
                <w:bCs w:val="false"/>
                <w:color w:val="1B242B"/>
                <w:sz w:val="19"/>
                <w:szCs w:val="19"/>
              </w:rPr>
              <w:t xml:space="preserve">[CFO]</w:t>
            </w:r>
          </w:p>
        </w:tc>
        <w:tc>
          <w:tcPr>
            <w:tcW w:type="dxa" w:w="2600"/>
            <w:tcMar>
              <w:top w:type="dxa" w:w="90"/>
              <w:left w:type="dxa" w:w="120"/>
              <w:bottom w:type="dxa" w:w="90"/>
              <w:right w:type="dxa" w:w="120"/>
            </w:tcMar>
          </w:tcPr>
          <w:p>
            <w:r>
              <w:rPr>
                <w:b w:val="false"/>
                <w:bCs w:val="false"/>
                <w:color w:val="1B242B"/>
                <w:sz w:val="19"/>
                <w:szCs w:val="19"/>
              </w:rPr>
              <w:t xml:space="preserve">[Finance]</w:t>
            </w:r>
          </w:p>
        </w:tc>
      </w:tr>
    </w:tbl>
    <w:p/>
    <w:p>
      <w:pPr>
        <w:spacing w:after="110"/>
      </w:pPr>
      <w:r>
        <w:rPr>
          <w:i w:val="false"/>
          <w:iCs w:val="false"/>
          <w:color w:val="1B242B"/>
          <w:sz w:val="21"/>
          <w:szCs w:val="21"/>
        </w:rPr>
        <w:t xml:space="preserve">The person who executes a transaction may not be the person who confirms and settles it.</w:t>
      </w:r>
    </w:p>
    <w:p>
      <w:pPr>
        <w:pStyle w:val="Heading1"/>
        <w:spacing w:after="110" w:before="260"/>
      </w:pPr>
      <w:r>
        <w:t xml:space="preserve">8. Reporting</w:t>
      </w:r>
    </w:p>
    <w:p>
      <w:pPr>
        <w:pStyle w:val="ListParagraph"/>
        <w:numPr>
          <w:ilvl w:val="0"/>
          <w:numId w:val="2"/>
        </w:numPr>
        <w:spacing w:after="70"/>
      </w:pPr>
      <w:r>
        <w:rPr>
          <w:sz w:val="21"/>
          <w:szCs w:val="21"/>
        </w:rPr>
        <w:t xml:space="preserve">Monthly: net exposure by currency and bucket, hedge ratio against target, mark-to-market of open hedges, earnings at risk, spread paid on execution.</w:t>
      </w:r>
    </w:p>
    <w:p>
      <w:pPr>
        <w:pStyle w:val="ListParagraph"/>
        <w:numPr>
          <w:ilvl w:val="0"/>
          <w:numId w:val="2"/>
        </w:numPr>
        <w:spacing w:after="70"/>
      </w:pPr>
      <w:r>
        <w:rPr>
          <w:sz w:val="21"/>
          <w:szCs w:val="21"/>
        </w:rPr>
        <w:t xml:space="preserve">Quarterly: effectiveness review, comparison of hedged versus unhedged outcome, breaches and resolutions.</w:t>
      </w:r>
    </w:p>
    <w:p>
      <w:pPr>
        <w:pStyle w:val="ListParagraph"/>
        <w:numPr>
          <w:ilvl w:val="0"/>
          <w:numId w:val="2"/>
        </w:numPr>
        <w:spacing w:after="70"/>
      </w:pPr>
      <w:r>
        <w:rPr>
          <w:sz w:val="21"/>
          <w:szCs w:val="21"/>
        </w:rPr>
        <w:t xml:space="preserve">Annually: full policy review and re-approval by [the Board].</w:t>
      </w:r>
    </w:p>
    <w:p>
      <w:pPr>
        <w:pStyle w:val="ListParagraph"/>
        <w:numPr>
          <w:ilvl w:val="0"/>
          <w:numId w:val="2"/>
        </w:numPr>
        <w:spacing w:after="70"/>
      </w:pPr>
      <w:r>
        <w:rPr>
          <w:sz w:val="21"/>
          <w:szCs w:val="21"/>
        </w:rPr>
        <w:t xml:space="preserve">Immediate escalation: any breach of a limit, any counterparty credit event, any margin call above [USD X].</w:t>
      </w:r>
    </w:p>
    <w:p>
      <w:pPr>
        <w:pStyle w:val="Heading1"/>
        <w:spacing w:after="110" w:before="260"/>
      </w:pPr>
      <w:r>
        <w:t xml:space="preserve">9. Accounting treatment</w:t>
      </w:r>
    </w:p>
    <w:p>
      <w:pPr>
        <w:spacing w:after="110"/>
      </w:pPr>
      <w:r>
        <w:rPr>
          <w:i w:val="false"/>
          <w:iCs w:val="false"/>
          <w:color w:val="1B242B"/>
          <w:sz w:val="21"/>
          <w:szCs w:val="21"/>
        </w:rPr>
        <w:t xml:space="preserve">The company applies [IFRS 9 hedge accounting / mark-to-market through P&amp;L]. Where hedge accounting is applied, documentation must exist at inception for each relationship, including the hedged item, the instrument, the economic relationship and the effectiveness assessment method.</w:t>
      </w:r>
    </w:p>
    <w:p>
      <w:pPr>
        <w:pStyle w:val="Heading1"/>
        <w:spacing w:after="110" w:before="260"/>
      </w:pPr>
      <w:r>
        <w:t xml:space="preserve">10. Breaches and exceptions</w:t>
      </w:r>
    </w:p>
    <w:p>
      <w:pPr>
        <w:pStyle w:val="ListParagraph"/>
        <w:numPr>
          <w:ilvl w:val="0"/>
          <w:numId w:val="2"/>
        </w:numPr>
        <w:spacing w:after="70"/>
      </w:pPr>
      <w:r>
        <w:rPr>
          <w:sz w:val="21"/>
          <w:szCs w:val="21"/>
        </w:rPr>
        <w:t xml:space="preserve">Any transaction outside this policy requires prior written approval from [CFO and Board].</w:t>
      </w:r>
    </w:p>
    <w:p>
      <w:pPr>
        <w:pStyle w:val="ListParagraph"/>
        <w:numPr>
          <w:ilvl w:val="0"/>
          <w:numId w:val="2"/>
        </w:numPr>
        <w:spacing w:after="70"/>
      </w:pPr>
      <w:r>
        <w:rPr>
          <w:sz w:val="21"/>
          <w:szCs w:val="21"/>
        </w:rPr>
        <w:t xml:space="preserve">Breaches are logged, reported at the next meeting and remediated within [5] business days.</w:t>
      </w:r>
    </w:p>
    <w:p>
      <w:pPr>
        <w:pStyle w:val="ListParagraph"/>
        <w:numPr>
          <w:ilvl w:val="0"/>
          <w:numId w:val="2"/>
        </w:numPr>
        <w:spacing w:after="70"/>
      </w:pPr>
      <w:r>
        <w:rPr>
          <w:sz w:val="21"/>
          <w:szCs w:val="21"/>
        </w:rPr>
        <w:t xml:space="preserve">Repeated breaches trigger a review of the policy itself, on the basis that a policy nobody can follow is the wrong policy.</w:t>
      </w:r>
    </w:p>
    <w:p>
      <w:pPr>
        <w:pStyle w:val="Heading1"/>
        <w:spacing w:after="110" w:before="260"/>
      </w:pPr>
      <w:r>
        <w:t xml:space="preserve">Appendix A — authorised dealers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600"/>
        <w:gridCol w:w="2100"/>
        <w:gridCol w:w="2100"/>
        <w:gridCol w:w="2600"/>
      </w:tblGrid>
      <w:tr>
        <w:trPr>
          <w:tblHeader/>
        </w:trPr>
        <w:tc>
          <w:tcPr>
            <w:tcW w:type="dxa" w:w="2600"/>
            <w:shd w:fill="EEF2F5" w:color="auto" w:val="clear"/>
            <w:tcMar>
              <w:top w:type="dxa" w:w="90"/>
              <w:left w:type="dxa" w:w="120"/>
              <w:bottom w:type="dxa" w:w="90"/>
              <w:right w:type="dxa" w:w="120"/>
            </w:tcMar>
          </w:tcPr>
          <w:p>
            <w:r>
              <w:rPr>
                <w:b/>
                <w:bCs/>
                <w:color w:val="163E58"/>
                <w:sz w:val="19"/>
                <w:szCs w:val="19"/>
              </w:rPr>
              <w:t xml:space="preserve">Name</w:t>
            </w:r>
          </w:p>
        </w:tc>
        <w:tc>
          <w:tcPr>
            <w:tcW w:type="dxa" w:w="2100"/>
            <w:shd w:fill="EEF2F5" w:color="auto" w:val="clear"/>
            <w:tcMar>
              <w:top w:type="dxa" w:w="90"/>
              <w:left w:type="dxa" w:w="120"/>
              <w:bottom w:type="dxa" w:w="90"/>
              <w:right w:type="dxa" w:w="120"/>
            </w:tcMar>
          </w:tcPr>
          <w:p>
            <w:r>
              <w:rPr>
                <w:b/>
                <w:bCs/>
                <w:color w:val="163E58"/>
                <w:sz w:val="19"/>
                <w:szCs w:val="19"/>
              </w:rPr>
              <w:t xml:space="preserve">Role</w:t>
            </w:r>
          </w:p>
        </w:tc>
        <w:tc>
          <w:tcPr>
            <w:tcW w:type="dxa" w:w="2100"/>
            <w:shd w:fill="EEF2F5" w:color="auto" w:val="clear"/>
            <w:tcMar>
              <w:top w:type="dxa" w:w="90"/>
              <w:left w:type="dxa" w:w="120"/>
              <w:bottom w:type="dxa" w:w="90"/>
              <w:right w:type="dxa" w:w="120"/>
            </w:tcMar>
          </w:tcPr>
          <w:p>
            <w:r>
              <w:rPr>
                <w:b/>
                <w:bCs/>
                <w:color w:val="163E58"/>
                <w:sz w:val="19"/>
                <w:szCs w:val="19"/>
              </w:rPr>
              <w:t xml:space="preserve">Limit per trade</w:t>
            </w:r>
          </w:p>
        </w:tc>
        <w:tc>
          <w:tcPr>
            <w:tcW w:type="dxa" w:w="2600"/>
            <w:shd w:fill="EEF2F5" w:color="auto" w:val="clear"/>
            <w:tcMar>
              <w:top w:type="dxa" w:w="90"/>
              <w:left w:type="dxa" w:w="120"/>
              <w:bottom w:type="dxa" w:w="90"/>
              <w:right w:type="dxa" w:w="120"/>
            </w:tcMar>
          </w:tcPr>
          <w:p>
            <w:r>
              <w:rPr>
                <w:b/>
                <w:bCs/>
                <w:color w:val="163E58"/>
                <w:sz w:val="19"/>
                <w:szCs w:val="19"/>
              </w:rPr>
              <w:t xml:space="preserve">Effective from</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[name]</w:t>
            </w:r>
          </w:p>
        </w:tc>
        <w:tc>
          <w:tcPr>
            <w:tcW w:type="dxa" w:w="2100"/>
            <w:tcMar>
              <w:top w:type="dxa" w:w="90"/>
              <w:left w:type="dxa" w:w="120"/>
              <w:bottom w:type="dxa" w:w="90"/>
              <w:right w:type="dxa" w:w="120"/>
            </w:tcMar>
          </w:tcPr>
          <w:p>
            <w:r>
              <w:rPr>
                <w:b w:val="false"/>
                <w:bCs w:val="false"/>
                <w:color w:val="1B242B"/>
                <w:sz w:val="19"/>
                <w:szCs w:val="19"/>
              </w:rPr>
              <w:t xml:space="preserve">[role]</w:t>
            </w:r>
          </w:p>
        </w:tc>
        <w:tc>
          <w:tcPr>
            <w:tcW w:type="dxa" w:w="2100"/>
            <w:tcMar>
              <w:top w:type="dxa" w:w="90"/>
              <w:left w:type="dxa" w:w="120"/>
              <w:bottom w:type="dxa" w:w="90"/>
              <w:right w:type="dxa" w:w="120"/>
            </w:tcMar>
          </w:tcPr>
          <w:p>
            <w:r>
              <w:rPr>
                <w:b w:val="false"/>
                <w:bCs w:val="false"/>
                <w:color w:val="1B242B"/>
                <w:sz w:val="19"/>
                <w:szCs w:val="19"/>
              </w:rPr>
              <w:t xml:space="preserve">[USD]</w:t>
            </w:r>
          </w:p>
        </w:tc>
        <w:tc>
          <w:tcPr>
            <w:tcW w:type="dxa" w:w="2600"/>
            <w:tcMar>
              <w:top w:type="dxa" w:w="90"/>
              <w:left w:type="dxa" w:w="120"/>
              <w:bottom w:type="dxa" w:w="90"/>
              <w:right w:type="dxa" w:w="120"/>
            </w:tcMar>
          </w:tcPr>
          <w:p>
            <w:r>
              <w:rPr>
                <w:b w:val="false"/>
                <w:bCs w:val="false"/>
                <w:color w:val="1B242B"/>
                <w:sz w:val="19"/>
                <w:szCs w:val="19"/>
              </w:rPr>
              <w:t xml:space="preserve">[date]</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[name]</w:t>
            </w:r>
          </w:p>
        </w:tc>
        <w:tc>
          <w:tcPr>
            <w:tcW w:type="dxa" w:w="2100"/>
            <w:tcMar>
              <w:top w:type="dxa" w:w="90"/>
              <w:left w:type="dxa" w:w="120"/>
              <w:bottom w:type="dxa" w:w="90"/>
              <w:right w:type="dxa" w:w="120"/>
            </w:tcMar>
          </w:tcPr>
          <w:p>
            <w:r>
              <w:rPr>
                <w:b w:val="false"/>
                <w:bCs w:val="false"/>
                <w:color w:val="1B242B"/>
                <w:sz w:val="19"/>
                <w:szCs w:val="19"/>
              </w:rPr>
              <w:t xml:space="preserve">[role]</w:t>
            </w:r>
          </w:p>
        </w:tc>
        <w:tc>
          <w:tcPr>
            <w:tcW w:type="dxa" w:w="2100"/>
            <w:tcMar>
              <w:top w:type="dxa" w:w="90"/>
              <w:left w:type="dxa" w:w="120"/>
              <w:bottom w:type="dxa" w:w="90"/>
              <w:right w:type="dxa" w:w="120"/>
            </w:tcMar>
          </w:tcPr>
          <w:p>
            <w:r>
              <w:rPr>
                <w:b w:val="false"/>
                <w:bCs w:val="false"/>
                <w:color w:val="1B242B"/>
                <w:sz w:val="19"/>
                <w:szCs w:val="19"/>
              </w:rPr>
              <w:t xml:space="preserve">[USD]</w:t>
            </w:r>
          </w:p>
        </w:tc>
        <w:tc>
          <w:tcPr>
            <w:tcW w:type="dxa" w:w="2600"/>
            <w:tcMar>
              <w:top w:type="dxa" w:w="90"/>
              <w:left w:type="dxa" w:w="120"/>
              <w:bottom w:type="dxa" w:w="90"/>
              <w:right w:type="dxa" w:w="120"/>
            </w:tcMar>
          </w:tcPr>
          <w:p>
            <w:r>
              <w:rPr>
                <w:b w:val="false"/>
                <w:bCs w:val="false"/>
                <w:color w:val="1B242B"/>
                <w:sz w:val="19"/>
                <w:szCs w:val="19"/>
              </w:rPr>
              <w:t xml:space="preserve">[date]</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[name]</w:t>
            </w:r>
          </w:p>
        </w:tc>
        <w:tc>
          <w:tcPr>
            <w:tcW w:type="dxa" w:w="2100"/>
            <w:tcMar>
              <w:top w:type="dxa" w:w="90"/>
              <w:left w:type="dxa" w:w="120"/>
              <w:bottom w:type="dxa" w:w="90"/>
              <w:right w:type="dxa" w:w="120"/>
            </w:tcMar>
          </w:tcPr>
          <w:p>
            <w:r>
              <w:rPr>
                <w:b w:val="false"/>
                <w:bCs w:val="false"/>
                <w:color w:val="1B242B"/>
                <w:sz w:val="19"/>
                <w:szCs w:val="19"/>
              </w:rPr>
              <w:t xml:space="preserve">[role]</w:t>
            </w:r>
          </w:p>
        </w:tc>
        <w:tc>
          <w:tcPr>
            <w:tcW w:type="dxa" w:w="2100"/>
            <w:tcMar>
              <w:top w:type="dxa" w:w="90"/>
              <w:left w:type="dxa" w:w="120"/>
              <w:bottom w:type="dxa" w:w="90"/>
              <w:right w:type="dxa" w:w="120"/>
            </w:tcMar>
          </w:tcPr>
          <w:p>
            <w:r>
              <w:rPr>
                <w:b w:val="false"/>
                <w:bCs w:val="false"/>
                <w:color w:val="1B242B"/>
                <w:sz w:val="19"/>
                <w:szCs w:val="19"/>
              </w:rPr>
              <w:t xml:space="preserve">[USD]</w:t>
            </w:r>
          </w:p>
        </w:tc>
        <w:tc>
          <w:tcPr>
            <w:tcW w:type="dxa" w:w="2600"/>
            <w:tcMar>
              <w:top w:type="dxa" w:w="90"/>
              <w:left w:type="dxa" w:w="120"/>
              <w:bottom w:type="dxa" w:w="90"/>
              <w:right w:type="dxa" w:w="120"/>
            </w:tcMar>
          </w:tcPr>
          <w:p>
            <w:r>
              <w:rPr>
                <w:b w:val="false"/>
                <w:bCs w:val="false"/>
                <w:color w:val="1B242B"/>
                <w:sz w:val="19"/>
                <w:szCs w:val="19"/>
              </w:rPr>
              <w:t xml:space="preserve">[date]</w:t>
            </w:r>
          </w:p>
        </w:tc>
      </w:tr>
    </w:tbl>
    <w:p/>
    <w:p>
      <w:pPr>
        <w:pStyle w:val="Heading1"/>
        <w:spacing w:after="110" w:before="260"/>
      </w:pPr>
      <w:r>
        <w:t xml:space="preserve">Appendix B — approved counterparties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600"/>
        <w:gridCol w:w="2100"/>
        <w:gridCol w:w="2100"/>
        <w:gridCol w:w="2600"/>
      </w:tblGrid>
      <w:tr>
        <w:trPr>
          <w:tblHeader/>
        </w:trPr>
        <w:tc>
          <w:tcPr>
            <w:tcW w:type="dxa" w:w="2600"/>
            <w:shd w:fill="EEF2F5" w:color="auto" w:val="clear"/>
            <w:tcMar>
              <w:top w:type="dxa" w:w="90"/>
              <w:left w:type="dxa" w:w="120"/>
              <w:bottom w:type="dxa" w:w="90"/>
              <w:right w:type="dxa" w:w="120"/>
            </w:tcMar>
          </w:tcPr>
          <w:p>
            <w:r>
              <w:rPr>
                <w:b/>
                <w:bCs/>
                <w:color w:val="163E58"/>
                <w:sz w:val="19"/>
                <w:szCs w:val="19"/>
              </w:rPr>
              <w:t xml:space="preserve">Counterparty</w:t>
            </w:r>
          </w:p>
        </w:tc>
        <w:tc>
          <w:tcPr>
            <w:tcW w:type="dxa" w:w="2100"/>
            <w:shd w:fill="EEF2F5" w:color="auto" w:val="clear"/>
            <w:tcMar>
              <w:top w:type="dxa" w:w="90"/>
              <w:left w:type="dxa" w:w="120"/>
              <w:bottom w:type="dxa" w:w="90"/>
              <w:right w:type="dxa" w:w="120"/>
            </w:tcMar>
          </w:tcPr>
          <w:p>
            <w:r>
              <w:rPr>
                <w:b/>
                <w:bCs/>
                <w:color w:val="163E58"/>
                <w:sz w:val="19"/>
                <w:szCs w:val="19"/>
              </w:rPr>
              <w:t xml:space="preserve">Products</w:t>
            </w:r>
          </w:p>
        </w:tc>
        <w:tc>
          <w:tcPr>
            <w:tcW w:type="dxa" w:w="2100"/>
            <w:shd w:fill="EEF2F5" w:color="auto" w:val="clear"/>
            <w:tcMar>
              <w:top w:type="dxa" w:w="90"/>
              <w:left w:type="dxa" w:w="120"/>
              <w:bottom w:type="dxa" w:w="90"/>
              <w:right w:type="dxa" w:w="120"/>
            </w:tcMar>
          </w:tcPr>
          <w:p>
            <w:r>
              <w:rPr>
                <w:b/>
                <w:bCs/>
                <w:color w:val="163E58"/>
                <w:sz w:val="19"/>
                <w:szCs w:val="19"/>
              </w:rPr>
              <w:t xml:space="preserve">Credit limit</w:t>
            </w:r>
          </w:p>
        </w:tc>
        <w:tc>
          <w:tcPr>
            <w:tcW w:type="dxa" w:w="2600"/>
            <w:shd w:fill="EEF2F5" w:color="auto" w:val="clear"/>
            <w:tcMar>
              <w:top w:type="dxa" w:w="90"/>
              <w:left w:type="dxa" w:w="120"/>
              <w:bottom w:type="dxa" w:w="90"/>
              <w:right w:type="dxa" w:w="120"/>
            </w:tcMar>
          </w:tcPr>
          <w:p>
            <w:r>
              <w:rPr>
                <w:b/>
                <w:bCs/>
                <w:color w:val="163E58"/>
                <w:sz w:val="19"/>
                <w:szCs w:val="19"/>
              </w:rPr>
              <w:t xml:space="preserve">Documentation</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[bank]</w:t>
            </w:r>
          </w:p>
        </w:tc>
        <w:tc>
          <w:tcPr>
            <w:tcW w:type="dxa" w:w="2100"/>
            <w:tcMar>
              <w:top w:type="dxa" w:w="90"/>
              <w:left w:type="dxa" w:w="120"/>
              <w:bottom w:type="dxa" w:w="90"/>
              <w:right w:type="dxa" w:w="120"/>
            </w:tcMar>
          </w:tcPr>
          <w:p>
            <w:r>
              <w:rPr>
                <w:b w:val="false"/>
                <w:bCs w:val="false"/>
                <w:color w:val="1B242B"/>
                <w:sz w:val="19"/>
                <w:szCs w:val="19"/>
              </w:rPr>
              <w:t xml:space="preserve">[spot, fwd, options]</w:t>
            </w:r>
          </w:p>
        </w:tc>
        <w:tc>
          <w:tcPr>
            <w:tcW w:type="dxa" w:w="2100"/>
            <w:tcMar>
              <w:top w:type="dxa" w:w="90"/>
              <w:left w:type="dxa" w:w="120"/>
              <w:bottom w:type="dxa" w:w="90"/>
              <w:right w:type="dxa" w:w="120"/>
            </w:tcMar>
          </w:tcPr>
          <w:p>
            <w:r>
              <w:rPr>
                <w:b w:val="false"/>
                <w:bCs w:val="false"/>
                <w:color w:val="1B242B"/>
                <w:sz w:val="19"/>
                <w:szCs w:val="19"/>
              </w:rPr>
              <w:t xml:space="preserve">[USD]</w:t>
            </w:r>
          </w:p>
        </w:tc>
        <w:tc>
          <w:tcPr>
            <w:tcW w:type="dxa" w:w="2600"/>
            <w:tcMar>
              <w:top w:type="dxa" w:w="90"/>
              <w:left w:type="dxa" w:w="120"/>
              <w:bottom w:type="dxa" w:w="90"/>
              <w:right w:type="dxa" w:w="120"/>
            </w:tcMar>
          </w:tcPr>
          <w:p>
            <w:r>
              <w:rPr>
                <w:b w:val="false"/>
                <w:bCs w:val="false"/>
                <w:color w:val="1B242B"/>
                <w:sz w:val="19"/>
                <w:szCs w:val="19"/>
              </w:rPr>
              <w:t xml:space="preserve">[ISDA / bank terms]</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[bank]</w:t>
            </w:r>
          </w:p>
        </w:tc>
        <w:tc>
          <w:tcPr>
            <w:tcW w:type="dxa" w:w="2100"/>
            <w:tcMar>
              <w:top w:type="dxa" w:w="90"/>
              <w:left w:type="dxa" w:w="120"/>
              <w:bottom w:type="dxa" w:w="90"/>
              <w:right w:type="dxa" w:w="120"/>
            </w:tcMar>
          </w:tcPr>
          <w:p>
            <w:r>
              <w:rPr>
                <w:b w:val="false"/>
                <w:bCs w:val="false"/>
                <w:color w:val="1B242B"/>
                <w:sz w:val="19"/>
                <w:szCs w:val="19"/>
              </w:rPr>
              <w:t xml:space="preserve">[spot, fwd]</w:t>
            </w:r>
          </w:p>
        </w:tc>
        <w:tc>
          <w:tcPr>
            <w:tcW w:type="dxa" w:w="2100"/>
            <w:tcMar>
              <w:top w:type="dxa" w:w="90"/>
              <w:left w:type="dxa" w:w="120"/>
              <w:bottom w:type="dxa" w:w="90"/>
              <w:right w:type="dxa" w:w="120"/>
            </w:tcMar>
          </w:tcPr>
          <w:p>
            <w:r>
              <w:rPr>
                <w:b w:val="false"/>
                <w:bCs w:val="false"/>
                <w:color w:val="1B242B"/>
                <w:sz w:val="19"/>
                <w:szCs w:val="19"/>
              </w:rPr>
              <w:t xml:space="preserve">[USD]</w:t>
            </w:r>
          </w:p>
        </w:tc>
        <w:tc>
          <w:tcPr>
            <w:tcW w:type="dxa" w:w="2600"/>
            <w:tcMar>
              <w:top w:type="dxa" w:w="90"/>
              <w:left w:type="dxa" w:w="120"/>
              <w:bottom w:type="dxa" w:w="90"/>
              <w:right w:type="dxa" w:w="120"/>
            </w:tcMar>
          </w:tcPr>
          <w:p>
            <w:r>
              <w:rPr>
                <w:b w:val="false"/>
                <w:bCs w:val="false"/>
                <w:color w:val="1B242B"/>
                <w:sz w:val="19"/>
                <w:szCs w:val="19"/>
              </w:rPr>
              <w:t xml:space="preserve">[bank terms]</w:t>
            </w:r>
          </w:p>
        </w:tc>
      </w:tr>
      <w:tr>
        <w:trPr>
          <w:tblHeader w:val="false"/>
        </w:trPr>
        <w:tc>
          <w:tcPr>
            <w:tcW w:type="dxa" w:w="2600"/>
            <w:tcMar>
              <w:top w:type="dxa" w:w="90"/>
              <w:left w:type="dxa" w:w="120"/>
              <w:bottom w:type="dxa" w:w="90"/>
              <w:right w:type="dxa" w:w="120"/>
            </w:tcMar>
          </w:tcPr>
          <w:p>
            <w:r>
              <w:rPr>
                <w:b w:val="false"/>
                <w:bCs w:val="false"/>
                <w:color w:val="1B242B"/>
                <w:sz w:val="19"/>
                <w:szCs w:val="19"/>
              </w:rPr>
              <w:t xml:space="preserve">[broker]</w:t>
            </w:r>
          </w:p>
        </w:tc>
        <w:tc>
          <w:tcPr>
            <w:tcW w:type="dxa" w:w="2100"/>
            <w:tcMar>
              <w:top w:type="dxa" w:w="90"/>
              <w:left w:type="dxa" w:w="120"/>
              <w:bottom w:type="dxa" w:w="90"/>
              <w:right w:type="dxa" w:w="120"/>
            </w:tcMar>
          </w:tcPr>
          <w:p>
            <w:r>
              <w:rPr>
                <w:b w:val="false"/>
                <w:bCs w:val="false"/>
                <w:color w:val="1B242B"/>
                <w:sz w:val="19"/>
                <w:szCs w:val="19"/>
              </w:rPr>
              <w:t xml:space="preserve">[futures]</w:t>
            </w:r>
          </w:p>
        </w:tc>
        <w:tc>
          <w:tcPr>
            <w:tcW w:type="dxa" w:w="2100"/>
            <w:tcMar>
              <w:top w:type="dxa" w:w="90"/>
              <w:left w:type="dxa" w:w="120"/>
              <w:bottom w:type="dxa" w:w="90"/>
              <w:right w:type="dxa" w:w="120"/>
            </w:tcMar>
          </w:tcPr>
          <w:p>
            <w:r>
              <w:rPr>
                <w:b w:val="false"/>
                <w:bCs w:val="false"/>
                <w:color w:val="1B242B"/>
                <w:sz w:val="19"/>
                <w:szCs w:val="19"/>
              </w:rPr>
              <w:t xml:space="preserve">[USD]</w:t>
            </w:r>
          </w:p>
        </w:tc>
        <w:tc>
          <w:tcPr>
            <w:tcW w:type="dxa" w:w="2600"/>
            <w:tcMar>
              <w:top w:type="dxa" w:w="90"/>
              <w:left w:type="dxa" w:w="120"/>
              <w:bottom w:type="dxa" w:w="90"/>
              <w:right w:type="dxa" w:w="120"/>
            </w:tcMar>
          </w:tcPr>
          <w:p>
            <w:r>
              <w:rPr>
                <w:b w:val="false"/>
                <w:bCs w:val="false"/>
                <w:color w:val="1B242B"/>
                <w:sz w:val="19"/>
                <w:szCs w:val="19"/>
              </w:rPr>
              <w:t xml:space="preserve">[client agreement]</w:t>
            </w:r>
          </w:p>
        </w:tc>
      </w:tr>
    </w:tbl>
    <w:p/>
    <w:p>
      <w:pPr>
        <w:pBdr>
          <w:top w:val="single" w:color="DFE3E6" w:sz="6" w:space="8"/>
        </w:pBdr>
        <w:spacing w:before="300"/>
      </w:pPr>
      <w:r>
        <w:rPr>
          <w:i/>
          <w:iCs/>
          <w:color w:val="5A6871"/>
          <w:sz w:val="17"/>
          <w:szCs w:val="17"/>
        </w:rPr>
        <w:t xml:space="preserve">This template is provided for general guidance. It is not legal, accounting or investment advice, and it must be adapted to the company's own circumstances and reviewed by its auditors and counsel before adoption. Prepared by Egor Zhilnikov — FX, commodities and treasury advisory, Dubai — info@ezhilnikov.com</w:t>
      </w:r>
    </w:p>
    <w:sectPr>
      <w:headerReference w:type="default" r:id="rId7"/>
      <w:footerReference w:type="default" r:id="rId8"/>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6871"/>
        <w:sz w:val="15"/>
        <w:szCs w:val="15"/>
      </w:rPr>
      <w:t xml:space="preserve">Template prepared by Egor Zhilnikov  ·  info@ezhilnikov.com  ·  Dubai  ·  page </w:t>
    </w:r>
    <w:r>
      <w:rPr>
        <w:color w:val="5A6871"/>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A6871"/>
        <w:spacing w:val="30"/>
        <w:sz w:val="15"/>
        <w:szCs w:val="15"/>
      </w:rPr>
      <w:t xml:space="preserve">FX RISK MANAGEMENT POLICY  |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120"/>
    </w:pPr>
    <w:rPr>
      <w:rFonts w:ascii="Georgia" w:cs="Georgia" w:eastAsia="Georgia" w:hAnsi="Georgia"/>
      <w:b/>
      <w:bCs/>
      <w:color w:val="163E58"/>
      <w:sz w:val="40"/>
      <w:szCs w:val="40"/>
    </w:rPr>
  </w:style>
  <w:style w:type="paragraph" w:styleId="Heading1">
    <w:name w:val="Heading 1"/>
    <w:basedOn w:val="Normal"/>
    <w:next w:val="Normal"/>
    <w:qFormat/>
    <w:pPr>
      <w:pBdr>
        <w:bottom w:val="single" w:color="DFE3E6" w:sz="6" w:space="6"/>
      </w:pBdr>
      <w:spacing w:after="120" w:before="300"/>
    </w:pPr>
    <w:rPr>
      <w:rFonts w:ascii="Georgia" w:cs="Georgia" w:eastAsia="Georgia" w:hAnsi="Georgia"/>
      <w:b/>
      <w:bCs/>
      <w:color w:val="163E58"/>
      <w:sz w:val="27"/>
      <w:szCs w:val="27"/>
    </w:rPr>
  </w:style>
  <w:style w:type="paragraph" w:styleId="Heading2">
    <w:name w:val="Heading 2"/>
    <w:basedOn w:val="Normal"/>
    <w:next w:val="Normal"/>
    <w:qFormat/>
    <w:pPr>
      <w:spacing w:after="90" w:before="220"/>
    </w:pPr>
    <w:rPr>
      <w:rFonts w:ascii="Georgia" w:cs="Georgia" w:eastAsia="Georgia" w:hAnsi="Georgia"/>
      <w:b/>
      <w:bCs/>
      <w:color w:val="12354B"/>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2026-08-27T07:40:17.786Z</dcterms:created>
  <dcterms:modified xsi:type="dcterms:W3CDTF">2026-08-27T07:40:17.796Z</dcterms:modified>
</cp:coreProperties>
</file>

<file path=docProps/custom.xml><?xml version="1.0" encoding="utf-8"?>
<Properties xmlns="http://schemas.openxmlformats.org/officeDocument/2006/custom-properties" xmlns:vt="http://schemas.openxmlformats.org/officeDocument/2006/docPropsVTypes"/>
</file>